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2A64" w:rsidRDefault="0067590C">
      <w:pPr>
        <w:jc w:val="right"/>
        <w:rPr>
          <w:rFonts w:ascii="Times New Roman" w:hAnsi="Times New Roman" w:cs="Times New Roman"/>
          <w:sz w:val="26"/>
          <w:szCs w:val="26"/>
        </w:rPr>
      </w:pPr>
      <w:bookmarkStart w:id="0" w:name="_Toc516230267"/>
      <w:bookmarkStart w:id="1" w:name="_Toc180313146"/>
      <w:bookmarkStart w:id="2" w:name="_Toc180313145"/>
      <w:bookmarkStart w:id="3" w:name="_Toc191112520"/>
      <w:r>
        <w:rPr>
          <w:rFonts w:ascii="Times New Roman" w:hAnsi="Times New Roman" w:cs="Times New Roman"/>
          <w:sz w:val="26"/>
          <w:szCs w:val="26"/>
        </w:rPr>
        <w:t>Приложение</w:t>
      </w:r>
    </w:p>
    <w:p w:rsidR="00912A64" w:rsidRDefault="0067590C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 приказу департамента строительства</w:t>
      </w:r>
    </w:p>
    <w:p w:rsidR="00912A64" w:rsidRDefault="0067590C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архитектуры и ЖКХ</w:t>
      </w:r>
    </w:p>
    <w:p w:rsidR="00912A64" w:rsidRDefault="0067590C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от </w:t>
      </w:r>
      <w:r w:rsidR="00BD7CC3">
        <w:rPr>
          <w:rFonts w:ascii="Times New Roman" w:hAnsi="Times New Roman" w:cs="Times New Roman"/>
          <w:sz w:val="26"/>
          <w:szCs w:val="26"/>
        </w:rPr>
        <w:t>14.07.2020</w:t>
      </w:r>
      <w:r>
        <w:rPr>
          <w:rFonts w:ascii="Times New Roman" w:hAnsi="Times New Roman" w:cs="Times New Roman"/>
          <w:sz w:val="26"/>
          <w:szCs w:val="26"/>
        </w:rPr>
        <w:t xml:space="preserve"> №</w:t>
      </w:r>
      <w:r w:rsidR="00BD7CC3">
        <w:rPr>
          <w:rFonts w:ascii="Times New Roman" w:hAnsi="Times New Roman" w:cs="Times New Roman"/>
          <w:sz w:val="26"/>
          <w:szCs w:val="26"/>
        </w:rPr>
        <w:t xml:space="preserve"> 88-н</w:t>
      </w:r>
    </w:p>
    <w:p w:rsidR="00912A64" w:rsidRDefault="00912A64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ДОКУМЕНТАЦИЯ</w:t>
      </w: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по планировке территории (проект планировки территории и проект межевания территории) линейного объекта «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Красноленинское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НГКМ. </w:t>
      </w:r>
      <w:proofErr w:type="spellStart"/>
      <w:r>
        <w:rPr>
          <w:rFonts w:ascii="Times New Roman" w:hAnsi="Times New Roman" w:cs="Times New Roman"/>
          <w:b/>
          <w:sz w:val="26"/>
          <w:szCs w:val="26"/>
        </w:rPr>
        <w:t>Талинский</w:t>
      </w:r>
      <w:proofErr w:type="spellEnd"/>
      <w:r>
        <w:rPr>
          <w:rFonts w:ascii="Times New Roman" w:hAnsi="Times New Roman" w:cs="Times New Roman"/>
          <w:b/>
          <w:sz w:val="26"/>
          <w:szCs w:val="26"/>
        </w:rPr>
        <w:t xml:space="preserve"> ЛУ. Ку</w:t>
      </w:r>
      <w:proofErr w:type="gramStart"/>
      <w:r>
        <w:rPr>
          <w:rFonts w:ascii="Times New Roman" w:hAnsi="Times New Roman" w:cs="Times New Roman"/>
          <w:b/>
          <w:sz w:val="26"/>
          <w:szCs w:val="26"/>
        </w:rPr>
        <w:t>ст скв</w:t>
      </w:r>
      <w:proofErr w:type="gramEnd"/>
      <w:r>
        <w:rPr>
          <w:rFonts w:ascii="Times New Roman" w:hAnsi="Times New Roman" w:cs="Times New Roman"/>
          <w:b/>
          <w:sz w:val="26"/>
          <w:szCs w:val="26"/>
        </w:rPr>
        <w:t>ажин №601. Корректировка»</w:t>
      </w:r>
    </w:p>
    <w:bookmarkEnd w:id="0"/>
    <w:p w:rsidR="00912A64" w:rsidRDefault="00912A64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РАЗДЕЛ 1. ПРОЕКТ ПЛАНИРОВКИ ТЕРРИТОРИИ. ГРАФИЧЕСКАЯ ЧАСТЬ</w:t>
      </w: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br w:type="page"/>
      </w: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</w:rPr>
        <w:sectPr w:rsidR="00912A64">
          <w:headerReference w:type="default" r:id="rId9"/>
          <w:footerReference w:type="first" r:id="rId10"/>
          <w:pgSz w:w="11906" w:h="16838" w:code="9"/>
          <w:pgMar w:top="1134" w:right="567" w:bottom="1134" w:left="1701" w:header="284" w:footer="556" w:gutter="0"/>
          <w:cols w:space="708"/>
          <w:titlePg/>
          <w:docGrid w:linePitch="360"/>
        </w:sectPr>
      </w:pP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12706350" cy="91379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4797" cy="913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12639675" cy="894000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8369" cy="893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</w:rPr>
        <w:br w:type="page"/>
      </w:r>
    </w:p>
    <w:p w:rsidR="00912A64" w:rsidRDefault="00912A64">
      <w:pPr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  <w:sectPr w:rsidR="00912A64">
          <w:pgSz w:w="23814" w:h="16840" w:orient="landscape" w:code="8"/>
          <w:pgMar w:top="1701" w:right="1134" w:bottom="567" w:left="1134" w:header="284" w:footer="556" w:gutter="0"/>
          <w:cols w:space="708"/>
          <w:titlePg/>
          <w:docGrid w:linePitch="360"/>
        </w:sectPr>
      </w:pPr>
    </w:p>
    <w:p w:rsidR="00912A64" w:rsidRDefault="0067590C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РАЗДЕЛ 2. ПОЛОЖЕНИЕ О РАЗМЕЩЕНИИ ЛИНЕЙНЫХ ОБЪЕКТОВ</w:t>
      </w:r>
    </w:p>
    <w:p w:rsidR="00912A64" w:rsidRDefault="00912A64">
      <w:pPr>
        <w:ind w:left="-1418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67590C">
      <w:pPr>
        <w:pStyle w:val="afff3"/>
        <w:numPr>
          <w:ilvl w:val="1"/>
          <w:numId w:val="31"/>
        </w:numPr>
        <w:tabs>
          <w:tab w:val="left" w:pos="851"/>
        </w:tabs>
        <w:ind w:right="566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bookmarkStart w:id="4" w:name="_Toc529370118"/>
      <w:bookmarkStart w:id="5" w:name="_Toc180313147"/>
      <w:bookmarkStart w:id="6" w:name="_Toc191112522"/>
      <w:bookmarkEnd w:id="1"/>
      <w:bookmarkEnd w:id="2"/>
      <w:bookmarkEnd w:id="3"/>
      <w:r>
        <w:rPr>
          <w:rFonts w:ascii="Times New Roman" w:hAnsi="Times New Roman" w:cs="Times New Roman"/>
          <w:b/>
          <w:bCs/>
          <w:sz w:val="26"/>
          <w:szCs w:val="26"/>
        </w:rPr>
        <w:t>Н</w:t>
      </w:r>
      <w:r>
        <w:rPr>
          <w:rFonts w:ascii="Times New Roman" w:hAnsi="Times New Roman" w:cs="Times New Roman"/>
          <w:b/>
          <w:sz w:val="26"/>
          <w:szCs w:val="26"/>
        </w:rPr>
        <w:t>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4"/>
    </w:p>
    <w:p w:rsidR="00912A64" w:rsidRDefault="00912A64">
      <w:pPr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912A64" w:rsidRDefault="00967DF6">
      <w:pPr>
        <w:tabs>
          <w:tab w:val="left" w:pos="9356"/>
        </w:tabs>
        <w:ind w:left="-284" w:right="170" w:firstLine="680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/>
          <w:sz w:val="26"/>
          <w:szCs w:val="26"/>
        </w:rPr>
        <w:t>Крас</w:t>
      </w:r>
      <w:r w:rsidR="0067590C">
        <w:rPr>
          <w:rFonts w:ascii="Times New Roman" w:hAnsi="Times New Roman"/>
          <w:sz w:val="26"/>
          <w:szCs w:val="26"/>
        </w:rPr>
        <w:t>ноленинское</w:t>
      </w:r>
      <w:proofErr w:type="spellEnd"/>
      <w:r w:rsidR="0067590C">
        <w:rPr>
          <w:rFonts w:ascii="Times New Roman" w:hAnsi="Times New Roman"/>
          <w:sz w:val="26"/>
          <w:szCs w:val="26"/>
        </w:rPr>
        <w:t xml:space="preserve"> НГКМ. </w:t>
      </w:r>
      <w:proofErr w:type="spellStart"/>
      <w:r w:rsidR="0067590C">
        <w:rPr>
          <w:rFonts w:ascii="Times New Roman" w:hAnsi="Times New Roman"/>
          <w:sz w:val="26"/>
          <w:szCs w:val="26"/>
        </w:rPr>
        <w:t>Талинский</w:t>
      </w:r>
      <w:proofErr w:type="spellEnd"/>
      <w:r w:rsidR="0067590C">
        <w:rPr>
          <w:rFonts w:ascii="Times New Roman" w:hAnsi="Times New Roman"/>
          <w:sz w:val="26"/>
          <w:szCs w:val="26"/>
        </w:rPr>
        <w:t xml:space="preserve"> ЛУ. Ку</w:t>
      </w:r>
      <w:proofErr w:type="gramStart"/>
      <w:r w:rsidR="0067590C">
        <w:rPr>
          <w:rFonts w:ascii="Times New Roman" w:hAnsi="Times New Roman"/>
          <w:sz w:val="26"/>
          <w:szCs w:val="26"/>
        </w:rPr>
        <w:t>ст скв</w:t>
      </w:r>
      <w:proofErr w:type="gramEnd"/>
      <w:r w:rsidR="0067590C">
        <w:rPr>
          <w:rFonts w:ascii="Times New Roman" w:hAnsi="Times New Roman"/>
          <w:sz w:val="26"/>
          <w:szCs w:val="26"/>
        </w:rPr>
        <w:t>ажин №601. Корректировка»</w:t>
      </w:r>
      <w:r w:rsidR="0067590C">
        <w:rPr>
          <w:rFonts w:ascii="Times New Roman" w:hAnsi="Times New Roman" w:cs="Times New Roman"/>
          <w:sz w:val="26"/>
          <w:szCs w:val="26"/>
        </w:rPr>
        <w:t xml:space="preserve"> разработана на основании:</w:t>
      </w:r>
    </w:p>
    <w:p w:rsidR="00912A64" w:rsidRDefault="0067590C">
      <w:pPr>
        <w:tabs>
          <w:tab w:val="left" w:pos="9356"/>
        </w:tabs>
        <w:ind w:left="-284" w:right="17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/>
          <w:sz w:val="26"/>
          <w:szCs w:val="26"/>
        </w:rPr>
        <w:t xml:space="preserve">приказа РФ ХМАО-ЮГРА Тюменской области Администрации Ханты-мансийского района департамента строительства, архитектуры и ЖКХ от </w:t>
      </w:r>
      <w:r>
        <w:rPr>
          <w:rFonts w:ascii="Times New Roman" w:hAnsi="Times New Roman"/>
          <w:sz w:val="26"/>
          <w:szCs w:val="26"/>
          <w:u w:val="single"/>
        </w:rPr>
        <w:t>18 июня</w:t>
      </w:r>
      <w:r>
        <w:rPr>
          <w:rFonts w:ascii="Times New Roman" w:hAnsi="Times New Roman"/>
          <w:sz w:val="26"/>
          <w:szCs w:val="26"/>
        </w:rPr>
        <w:t xml:space="preserve"> 2020 года № </w:t>
      </w:r>
      <w:r>
        <w:rPr>
          <w:rFonts w:ascii="Times New Roman" w:hAnsi="Times New Roman"/>
          <w:sz w:val="26"/>
          <w:szCs w:val="26"/>
          <w:u w:val="single"/>
        </w:rPr>
        <w:t>66-н</w:t>
      </w:r>
      <w:r>
        <w:rPr>
          <w:rFonts w:ascii="Times New Roman" w:hAnsi="Times New Roman"/>
          <w:sz w:val="26"/>
          <w:szCs w:val="26"/>
        </w:rPr>
        <w:t xml:space="preserve"> «О подготовке документации по планировке территории для размещения объекта «</w:t>
      </w:r>
      <w:proofErr w:type="spellStart"/>
      <w:r>
        <w:rPr>
          <w:rFonts w:ascii="Times New Roman" w:hAnsi="Times New Roman"/>
          <w:sz w:val="26"/>
          <w:szCs w:val="26"/>
        </w:rPr>
        <w:t>Красноленинское</w:t>
      </w:r>
      <w:proofErr w:type="spellEnd"/>
      <w:r>
        <w:rPr>
          <w:rFonts w:ascii="Times New Roman" w:hAnsi="Times New Roman"/>
          <w:sz w:val="26"/>
          <w:szCs w:val="26"/>
        </w:rPr>
        <w:t xml:space="preserve"> НГКМ. </w:t>
      </w:r>
      <w:proofErr w:type="spellStart"/>
      <w:r>
        <w:rPr>
          <w:rFonts w:ascii="Times New Roman" w:hAnsi="Times New Roman"/>
          <w:sz w:val="26"/>
          <w:szCs w:val="26"/>
        </w:rPr>
        <w:t>Талинский</w:t>
      </w:r>
      <w:proofErr w:type="spellEnd"/>
      <w:r>
        <w:rPr>
          <w:rFonts w:ascii="Times New Roman" w:hAnsi="Times New Roman"/>
          <w:sz w:val="26"/>
          <w:szCs w:val="26"/>
        </w:rPr>
        <w:t xml:space="preserve"> ЛУ. Ку</w:t>
      </w:r>
      <w:proofErr w:type="gramStart"/>
      <w:r>
        <w:rPr>
          <w:rFonts w:ascii="Times New Roman" w:hAnsi="Times New Roman"/>
          <w:sz w:val="26"/>
          <w:szCs w:val="26"/>
        </w:rPr>
        <w:t>ст скв</w:t>
      </w:r>
      <w:proofErr w:type="gramEnd"/>
      <w:r>
        <w:rPr>
          <w:rFonts w:ascii="Times New Roman" w:hAnsi="Times New Roman"/>
          <w:sz w:val="26"/>
          <w:szCs w:val="26"/>
        </w:rPr>
        <w:t>ажин №601. Корректировка»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912A64" w:rsidRDefault="0067590C">
      <w:pPr>
        <w:tabs>
          <w:tab w:val="left" w:pos="9356"/>
        </w:tabs>
        <w:ind w:left="-284" w:right="17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технического задания на разработку документации по планировке территории.</w:t>
      </w:r>
    </w:p>
    <w:p w:rsidR="00912A64" w:rsidRDefault="0067590C">
      <w:pPr>
        <w:tabs>
          <w:tab w:val="left" w:pos="9356"/>
        </w:tabs>
        <w:ind w:left="-284" w:right="17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 подготовке документации были использованы:</w:t>
      </w:r>
    </w:p>
    <w:p w:rsidR="00912A64" w:rsidRDefault="0067590C">
      <w:pPr>
        <w:tabs>
          <w:tab w:val="left" w:pos="9356"/>
        </w:tabs>
        <w:ind w:left="-284" w:right="17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>- материалы инженерных изысканий (инженерно-геодезические, инженерно-геологические, инженерно-гидрометеорологические, инженерно-экологические, архитектурные (</w:t>
      </w:r>
      <w:proofErr w:type="spellStart"/>
      <w:r>
        <w:rPr>
          <w:rFonts w:ascii="Times New Roman" w:hAnsi="Times New Roman" w:cs="Times New Roman"/>
          <w:sz w:val="26"/>
          <w:szCs w:val="26"/>
        </w:rPr>
        <w:t>историко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культурные) исследования);</w:t>
      </w:r>
      <w:proofErr w:type="gramEnd"/>
    </w:p>
    <w:p w:rsidR="00912A64" w:rsidRDefault="0067590C">
      <w:pPr>
        <w:tabs>
          <w:tab w:val="left" w:pos="9356"/>
        </w:tabs>
        <w:ind w:left="-284" w:right="17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технические условия;</w:t>
      </w:r>
    </w:p>
    <w:p w:rsidR="00912A64" w:rsidRDefault="0067590C">
      <w:pPr>
        <w:tabs>
          <w:tab w:val="left" w:pos="9356"/>
        </w:tabs>
        <w:ind w:left="-284" w:right="17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документы территориального планирования, соответствующих муниципальных образований.</w:t>
      </w:r>
    </w:p>
    <w:p w:rsidR="00912A64" w:rsidRDefault="0067590C">
      <w:pPr>
        <w:tabs>
          <w:tab w:val="left" w:pos="9356"/>
        </w:tabs>
        <w:ind w:left="-284" w:right="170" w:firstLine="68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Планируемые техническим заданием сооружения представлены в таблице 1:</w:t>
      </w:r>
    </w:p>
    <w:tbl>
      <w:tblPr>
        <w:tblW w:w="9356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0"/>
        <w:gridCol w:w="4536"/>
        <w:gridCol w:w="2410"/>
      </w:tblGrid>
      <w:tr w:rsidR="00912A64">
        <w:trPr>
          <w:trHeight w:val="20"/>
          <w:tblHeader/>
        </w:trPr>
        <w:tc>
          <w:tcPr>
            <w:tcW w:w="2410" w:type="dxa"/>
            <w:vAlign w:val="center"/>
          </w:tcPr>
          <w:p w:rsidR="00912A64" w:rsidRDefault="0067590C">
            <w:pPr>
              <w:snapToGri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Наименование</w:t>
            </w:r>
          </w:p>
        </w:tc>
        <w:tc>
          <w:tcPr>
            <w:tcW w:w="4536" w:type="dxa"/>
            <w:vAlign w:val="center"/>
          </w:tcPr>
          <w:p w:rsidR="00912A64" w:rsidRDefault="0067590C">
            <w:pPr>
              <w:snapToGri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Планируемое сооружение</w:t>
            </w:r>
          </w:p>
        </w:tc>
        <w:tc>
          <w:tcPr>
            <w:tcW w:w="2410" w:type="dxa"/>
          </w:tcPr>
          <w:p w:rsidR="00912A64" w:rsidRDefault="0067590C">
            <w:pPr>
              <w:snapToGrid w:val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Длина трассы,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км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>, размеры площадки, м</w:t>
            </w:r>
          </w:p>
        </w:tc>
      </w:tr>
      <w:tr w:rsidR="00912A64">
        <w:trPr>
          <w:trHeight w:val="20"/>
          <w:tblHeader/>
        </w:trPr>
        <w:tc>
          <w:tcPr>
            <w:tcW w:w="2410" w:type="dxa"/>
            <w:vAlign w:val="center"/>
          </w:tcPr>
          <w:p w:rsidR="00912A64" w:rsidRDefault="0067590C">
            <w:pPr>
              <w:ind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536" w:type="dxa"/>
            <w:vAlign w:val="center"/>
          </w:tcPr>
          <w:p w:rsidR="00912A64" w:rsidRDefault="0067590C">
            <w:pPr>
              <w:keepNext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2410" w:type="dxa"/>
            <w:vAlign w:val="center"/>
          </w:tcPr>
          <w:p w:rsidR="00912A64" w:rsidRDefault="0067590C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912A64">
        <w:trPr>
          <w:trHeight w:val="20"/>
        </w:trPr>
        <w:tc>
          <w:tcPr>
            <w:tcW w:w="2410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Площадка куста №601</w:t>
            </w:r>
          </w:p>
        </w:tc>
        <w:tc>
          <w:tcPr>
            <w:tcW w:w="4536" w:type="dxa"/>
            <w:vAlign w:val="center"/>
          </w:tcPr>
          <w:p w:rsidR="00912A64" w:rsidRDefault="0067590C">
            <w:pPr>
              <w:keepNext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Куст 601 (установка ГЗУ-2, БГ-2, ЕД-2), технологические трубопроводы, в пределах площадки куста скважин</w:t>
            </w:r>
          </w:p>
        </w:tc>
        <w:tc>
          <w:tcPr>
            <w:tcW w:w="2410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~ 363х225 м (ориентировочный размер площадки)</w:t>
            </w:r>
          </w:p>
        </w:tc>
      </w:tr>
      <w:tr w:rsidR="00912A64">
        <w:trPr>
          <w:trHeight w:val="20"/>
        </w:trPr>
        <w:tc>
          <w:tcPr>
            <w:tcW w:w="2410" w:type="dxa"/>
            <w:vAlign w:val="center"/>
          </w:tcPr>
          <w:p w:rsidR="00912A64" w:rsidRDefault="0067590C" w:rsidP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ВЛ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6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кВ</w:t>
            </w:r>
            <w:proofErr w:type="spellEnd"/>
          </w:p>
        </w:tc>
        <w:tc>
          <w:tcPr>
            <w:tcW w:w="4536" w:type="dxa"/>
            <w:vAlign w:val="center"/>
          </w:tcPr>
          <w:p w:rsidR="00912A64" w:rsidRDefault="0067590C" w:rsidP="0067590C">
            <w:pPr>
              <w:keepNext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Отвлетвление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ВЛ-6кВ до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проектируемой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КТПН 6/0.4кВ</w:t>
            </w:r>
          </w:p>
        </w:tc>
        <w:tc>
          <w:tcPr>
            <w:tcW w:w="2410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~ 0,15 км</w:t>
            </w:r>
          </w:p>
        </w:tc>
      </w:tr>
    </w:tbl>
    <w:p w:rsidR="00912A64" w:rsidRDefault="00912A64">
      <w:pPr>
        <w:spacing w:line="360" w:lineRule="auto"/>
        <w:ind w:firstLine="709"/>
        <w:jc w:val="both"/>
        <w:rPr>
          <w:rFonts w:cs="Times New Roman"/>
          <w:kern w:val="28"/>
          <w:szCs w:val="20"/>
          <w:lang w:eastAsia="en-US"/>
        </w:rPr>
      </w:pPr>
    </w:p>
    <w:p w:rsidR="00912A64" w:rsidRDefault="0067590C">
      <w:pPr>
        <w:ind w:left="-426" w:right="170" w:firstLine="852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Цель подготовки документации – </w:t>
      </w:r>
      <w:r>
        <w:rPr>
          <w:rFonts w:ascii="Times New Roman" w:eastAsia="Calibri" w:hAnsi="Times New Roman" w:cs="Times New Roman"/>
          <w:sz w:val="26"/>
          <w:szCs w:val="26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912A64" w:rsidRDefault="00912A64">
      <w:pPr>
        <w:spacing w:line="360" w:lineRule="auto"/>
        <w:ind w:firstLine="709"/>
        <w:jc w:val="both"/>
        <w:rPr>
          <w:rFonts w:cs="Times New Roman"/>
          <w:kern w:val="28"/>
          <w:szCs w:val="20"/>
          <w:lang w:eastAsia="en-US"/>
        </w:rPr>
      </w:pPr>
    </w:p>
    <w:p w:rsidR="00912A64" w:rsidRDefault="00912A64">
      <w:pPr>
        <w:spacing w:line="360" w:lineRule="auto"/>
        <w:ind w:firstLine="709"/>
        <w:jc w:val="both"/>
        <w:rPr>
          <w:rFonts w:cs="Times New Roman"/>
          <w:kern w:val="28"/>
          <w:szCs w:val="20"/>
          <w:lang w:eastAsia="en-US"/>
        </w:rPr>
      </w:pPr>
    </w:p>
    <w:p w:rsidR="00912A64" w:rsidRDefault="0067590C">
      <w:pPr>
        <w:keepNext/>
        <w:numPr>
          <w:ilvl w:val="1"/>
          <w:numId w:val="32"/>
        </w:numPr>
        <w:overflowPunct w:val="0"/>
        <w:autoSpaceDE w:val="0"/>
        <w:autoSpaceDN w:val="0"/>
        <w:adjustRightInd w:val="0"/>
        <w:ind w:left="-284" w:right="425" w:firstLine="426"/>
        <w:jc w:val="both"/>
        <w:textAlignment w:val="baseline"/>
        <w:outlineLvl w:val="1"/>
        <w:rPr>
          <w:rFonts w:ascii="Times New Roman" w:hAnsi="Times New Roman" w:cs="Times New Roman"/>
          <w:b/>
          <w:bCs/>
          <w:sz w:val="26"/>
          <w:szCs w:val="26"/>
        </w:rPr>
      </w:pPr>
      <w:bookmarkStart w:id="7" w:name="_Toc14419299"/>
      <w:r>
        <w:rPr>
          <w:rFonts w:ascii="Times New Roman" w:hAnsi="Times New Roman" w:cs="Times New Roman"/>
          <w:b/>
          <w:bCs/>
          <w:sz w:val="26"/>
          <w:szCs w:val="26"/>
        </w:rPr>
        <w:t>П</w:t>
      </w:r>
      <w:r>
        <w:rPr>
          <w:rFonts w:ascii="Times New Roman" w:hAnsi="Times New Roman" w:cs="Times New Roman"/>
          <w:b/>
          <w:sz w:val="26"/>
          <w:szCs w:val="26"/>
        </w:rPr>
        <w:t>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7"/>
    </w:p>
    <w:p w:rsidR="00912A64" w:rsidRDefault="00912A64">
      <w:pPr>
        <w:spacing w:line="360" w:lineRule="auto"/>
        <w:ind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tabs>
          <w:tab w:val="left" w:pos="-2358"/>
          <w:tab w:val="left" w:pos="10206"/>
        </w:tabs>
        <w:spacing w:line="276" w:lineRule="auto"/>
        <w:ind w:left="284" w:right="170" w:firstLine="425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В административном отношении объект расположен </w:t>
      </w:r>
      <w:proofErr w:type="gramStart"/>
      <w:r>
        <w:rPr>
          <w:rFonts w:ascii="Times New Roman" w:hAnsi="Times New Roman" w:cs="Times New Roman"/>
          <w:bCs/>
          <w:sz w:val="26"/>
          <w:szCs w:val="26"/>
        </w:rPr>
        <w:t>в</w:t>
      </w:r>
      <w:proofErr w:type="gramEnd"/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6"/>
          <w:szCs w:val="26"/>
        </w:rPr>
        <w:t>Ханты-Мансийском</w:t>
      </w:r>
      <w:proofErr w:type="gramEnd"/>
      <w:r>
        <w:rPr>
          <w:rFonts w:ascii="Times New Roman" w:hAnsi="Times New Roman" w:cs="Times New Roman"/>
          <w:bCs/>
          <w:sz w:val="26"/>
          <w:szCs w:val="26"/>
        </w:rPr>
        <w:t xml:space="preserve"> муниципальном районе Ханты-Мансийского автономного округа-Югры, </w:t>
      </w:r>
      <w:r>
        <w:rPr>
          <w:rFonts w:ascii="Times New Roman" w:hAnsi="Times New Roman" w:cs="Times New Roman"/>
          <w:bCs/>
          <w:sz w:val="26"/>
          <w:szCs w:val="26"/>
        </w:rPr>
        <w:lastRenderedPageBreak/>
        <w:t xml:space="preserve">входящего в состав Тюменской области, на территории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Талинского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ЛУ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Красноленинского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НГКМ, в ~117 км юго-восточнее г.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Нягань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>.</w:t>
      </w:r>
    </w:p>
    <w:p w:rsidR="00912A64" w:rsidRDefault="0067590C">
      <w:pPr>
        <w:tabs>
          <w:tab w:val="left" w:pos="10206"/>
        </w:tabs>
        <w:spacing w:line="276" w:lineRule="auto"/>
        <w:ind w:left="284" w:right="170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Ближайшими населенными пунктами являются п. </w:t>
      </w:r>
      <w:proofErr w:type="spellStart"/>
      <w:r>
        <w:rPr>
          <w:rFonts w:ascii="Times New Roman" w:hAnsi="Times New Roman" w:cs="Times New Roman"/>
          <w:sz w:val="26"/>
          <w:szCs w:val="26"/>
        </w:rPr>
        <w:t>Талинка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расположенный </w:t>
      </w:r>
      <w:r>
        <w:rPr>
          <w:rFonts w:ascii="Times New Roman" w:hAnsi="Times New Roman" w:cs="Times New Roman"/>
          <w:sz w:val="26"/>
          <w:szCs w:val="26"/>
        </w:rPr>
        <w:br/>
        <w:t xml:space="preserve">в 40 км к </w:t>
      </w:r>
      <w:proofErr w:type="spellStart"/>
      <w:r>
        <w:rPr>
          <w:rFonts w:ascii="Times New Roman" w:hAnsi="Times New Roman" w:cs="Times New Roman"/>
          <w:sz w:val="26"/>
          <w:szCs w:val="26"/>
        </w:rPr>
        <w:t>северо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>
        <w:rPr>
          <w:rFonts w:ascii="Times New Roman" w:hAnsi="Times New Roman" w:cs="Times New Roman"/>
          <w:sz w:val="26"/>
          <w:szCs w:val="26"/>
        </w:rPr>
        <w:t>–з</w:t>
      </w:r>
      <w:proofErr w:type="gramEnd"/>
      <w:r>
        <w:rPr>
          <w:rFonts w:ascii="Times New Roman" w:hAnsi="Times New Roman" w:cs="Times New Roman"/>
          <w:sz w:val="26"/>
          <w:szCs w:val="26"/>
        </w:rPr>
        <w:t>ападу п. Каменное – в 60,6 км к северо-востоку от участка работ.</w:t>
      </w:r>
    </w:p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170" w:right="170" w:firstLine="68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Перечень муниципальных образований, в границах которых планируется размещение линейного объекта, представлен в таблице 2.</w:t>
      </w:r>
    </w:p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170" w:right="170" w:firstLine="68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Перечень муниципальных образований</w:t>
      </w:r>
    </w:p>
    <w:p w:rsidR="00912A64" w:rsidRDefault="0067590C">
      <w:pPr>
        <w:ind w:left="170" w:right="170" w:firstLine="680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Таблица 2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3118"/>
        <w:gridCol w:w="3119"/>
      </w:tblGrid>
      <w:tr w:rsidR="00912A64">
        <w:trPr>
          <w:trHeight w:val="20"/>
          <w:tblHeader/>
        </w:trPr>
        <w:tc>
          <w:tcPr>
            <w:tcW w:w="3119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Субъект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Российской</w:t>
            </w:r>
            <w:proofErr w:type="gramEnd"/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Федерации</w:t>
            </w:r>
          </w:p>
        </w:tc>
        <w:tc>
          <w:tcPr>
            <w:tcW w:w="3118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Муниципальный район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Сельское поселение</w:t>
            </w:r>
          </w:p>
        </w:tc>
      </w:tr>
      <w:tr w:rsidR="00912A64">
        <w:trPr>
          <w:trHeight w:val="20"/>
        </w:trPr>
        <w:tc>
          <w:tcPr>
            <w:tcW w:w="3119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ХМАО-ЮГРА</w:t>
            </w:r>
          </w:p>
        </w:tc>
        <w:tc>
          <w:tcPr>
            <w:tcW w:w="3118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Муниципальное образование «Ханты-Мансийский район»</w:t>
            </w:r>
          </w:p>
        </w:tc>
        <w:tc>
          <w:tcPr>
            <w:tcW w:w="3119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</w:tr>
    </w:tbl>
    <w:p w:rsidR="00912A64" w:rsidRDefault="00912A64">
      <w:pPr>
        <w:spacing w:line="360" w:lineRule="auto"/>
        <w:ind w:firstLine="709"/>
        <w:jc w:val="both"/>
        <w:rPr>
          <w:rFonts w:cs="Times New Roman"/>
          <w:kern w:val="28"/>
          <w:szCs w:val="20"/>
          <w:lang w:eastAsia="en-US"/>
        </w:rPr>
      </w:pPr>
    </w:p>
    <w:p w:rsidR="00912A64" w:rsidRDefault="00912A64">
      <w:pPr>
        <w:tabs>
          <w:tab w:val="left" w:pos="993"/>
        </w:tabs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912A64" w:rsidRDefault="0067590C">
      <w:pPr>
        <w:keepNext/>
        <w:numPr>
          <w:ilvl w:val="1"/>
          <w:numId w:val="33"/>
        </w:numPr>
        <w:overflowPunct w:val="0"/>
        <w:autoSpaceDE w:val="0"/>
        <w:autoSpaceDN w:val="0"/>
        <w:adjustRightInd w:val="0"/>
        <w:spacing w:after="240"/>
        <w:ind w:right="142"/>
        <w:contextualSpacing/>
        <w:jc w:val="center"/>
        <w:textAlignment w:val="baseline"/>
        <w:outlineLvl w:val="1"/>
        <w:rPr>
          <w:rFonts w:ascii="Times New Roman" w:hAnsi="Times New Roman" w:cs="Times New Roman"/>
          <w:b/>
          <w:sz w:val="26"/>
          <w:szCs w:val="26"/>
        </w:rPr>
      </w:pPr>
      <w:bookmarkStart w:id="8" w:name="_Toc14419300"/>
      <w:r>
        <w:rPr>
          <w:rFonts w:ascii="Times New Roman" w:hAnsi="Times New Roman" w:cs="Times New Roman"/>
          <w:b/>
          <w:bCs/>
          <w:sz w:val="26"/>
          <w:szCs w:val="26"/>
        </w:rPr>
        <w:t>П</w:t>
      </w:r>
      <w:r>
        <w:rPr>
          <w:rFonts w:ascii="Times New Roman" w:hAnsi="Times New Roman" w:cs="Times New Roman"/>
          <w:b/>
          <w:sz w:val="26"/>
          <w:szCs w:val="26"/>
        </w:rPr>
        <w:t xml:space="preserve">еречень </w:t>
      </w:r>
      <w:proofErr w:type="gramStart"/>
      <w:r>
        <w:rPr>
          <w:rFonts w:ascii="Times New Roman" w:hAnsi="Times New Roman" w:cs="Times New Roman"/>
          <w:b/>
          <w:sz w:val="26"/>
          <w:szCs w:val="26"/>
        </w:rPr>
        <w:t>координат характерных точек границ зон планируемого размещения линейных объектов</w:t>
      </w:r>
      <w:bookmarkEnd w:id="8"/>
      <w:proofErr w:type="gramEnd"/>
    </w:p>
    <w:p w:rsidR="00912A64" w:rsidRDefault="00912A64">
      <w:pPr>
        <w:tabs>
          <w:tab w:val="left" w:pos="993"/>
        </w:tabs>
        <w:jc w:val="center"/>
        <w:rPr>
          <w:rFonts w:ascii="Times New Roman" w:hAnsi="Times New Roman" w:cs="Times New Roman"/>
          <w:sz w:val="26"/>
          <w:szCs w:val="26"/>
        </w:rPr>
      </w:pPr>
    </w:p>
    <w:bookmarkEnd w:id="5"/>
    <w:bookmarkEnd w:id="6"/>
    <w:p w:rsidR="00912A64" w:rsidRDefault="0067590C">
      <w:pPr>
        <w:ind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Координаты характерных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точек границ зоны планируемого размещения линейных объектов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 в системе координат МСК-86 (зона 2) представлены в таблице 3.</w:t>
      </w:r>
    </w:p>
    <w:p w:rsidR="00912A64" w:rsidRDefault="00912A64">
      <w:pPr>
        <w:ind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Перечень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координат характерных точек границ зон планируемого размещения</w:t>
      </w:r>
      <w:proofErr w:type="gramEnd"/>
    </w:p>
    <w:p w:rsidR="00912A64" w:rsidRDefault="0067590C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Таблица 3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3260"/>
        <w:gridCol w:w="3686"/>
      </w:tblGrid>
      <w:tr w:rsidR="00912A64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Номер характерной точки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X</w:t>
            </w:r>
          </w:p>
        </w:tc>
        <w:tc>
          <w:tcPr>
            <w:tcW w:w="3686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Y</w:t>
            </w:r>
          </w:p>
        </w:tc>
      </w:tr>
      <w:tr w:rsidR="00912A64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975881.55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2531395.95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975880.97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2531387.53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975712.35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2531252.35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975629.25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2531183.85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5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975443.48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2531411.90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975689.40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2531612.65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7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975754.03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2531632.06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975795.14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2531641.89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975788.73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2531631.38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10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975774.67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2531625.54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975761.65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2531614.69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975681.25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2531557.03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975621.42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2531530.46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14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975607.36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2531514.66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15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975608.90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2531500.28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16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975572.80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2531463.22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17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975572.54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2531447.30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>18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975544.60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2531424.15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19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975629.74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2531319.66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20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975703.02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2531379.94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975737.54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2531338.14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975826.69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2531413.24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975856.03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2531376.92</w:t>
            </w:r>
          </w:p>
        </w:tc>
      </w:tr>
    </w:tbl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Координаты характерных точек границ красных линий в системе координат МСК-18 (зона 2) представлены в таблице 4.</w:t>
      </w:r>
    </w:p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170" w:right="170" w:firstLine="68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Перечень координат характерных точек красных линий</w:t>
      </w:r>
    </w:p>
    <w:p w:rsidR="00912A64" w:rsidRDefault="0067590C">
      <w:pPr>
        <w:ind w:left="170" w:right="170" w:firstLine="680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Таблица 4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3260"/>
        <w:gridCol w:w="3686"/>
      </w:tblGrid>
      <w:tr w:rsidR="00912A64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Номер характерной точки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X</w:t>
            </w:r>
          </w:p>
        </w:tc>
        <w:tc>
          <w:tcPr>
            <w:tcW w:w="3686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Y</w:t>
            </w:r>
          </w:p>
        </w:tc>
      </w:tr>
      <w:tr w:rsidR="00912A64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975881.55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2531395.95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975880.97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2531387.53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975712.35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2531252.35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975629.25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2531183.85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5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975443.48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2531411.90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975689.40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2531612.65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7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975754.03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2531632.06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975795.14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2531641.89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975788.73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2531631.38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10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975774.67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2531625.54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975761.65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2531614.69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975681.25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2531557.03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975621.42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2531530.46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14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975607.36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2531514.66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15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975608.90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2531500.28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16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975572.80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2531463.22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17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975572.54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2531447.30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18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975544.60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2531424.15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19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975629.74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2531319.66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20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975703.02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2531379.94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975737.54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2531338.14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975826.69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2531413.24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975856.03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2531376.92</w:t>
            </w:r>
          </w:p>
        </w:tc>
      </w:tr>
    </w:tbl>
    <w:p w:rsidR="00912A64" w:rsidRDefault="00912A64">
      <w:pPr>
        <w:tabs>
          <w:tab w:val="left" w:pos="851"/>
        </w:tabs>
        <w:ind w:left="567" w:right="566"/>
        <w:contextualSpacing/>
        <w:rPr>
          <w:rFonts w:ascii="Times New Roman" w:hAnsi="Times New Roman" w:cs="Times New Roman"/>
          <w:bCs/>
          <w:sz w:val="26"/>
          <w:szCs w:val="26"/>
        </w:rPr>
      </w:pPr>
    </w:p>
    <w:p w:rsidR="00912A64" w:rsidRDefault="0067590C" w:rsidP="0067590C">
      <w:pPr>
        <w:keepNext/>
        <w:numPr>
          <w:ilvl w:val="1"/>
          <w:numId w:val="32"/>
        </w:numPr>
        <w:overflowPunct w:val="0"/>
        <w:autoSpaceDE w:val="0"/>
        <w:autoSpaceDN w:val="0"/>
        <w:adjustRightInd w:val="0"/>
        <w:spacing w:after="240"/>
        <w:ind w:right="425" w:hanging="77"/>
        <w:contextualSpacing/>
        <w:jc w:val="both"/>
        <w:textAlignment w:val="baseline"/>
        <w:outlineLvl w:val="1"/>
        <w:rPr>
          <w:rFonts w:ascii="Times New Roman" w:hAnsi="Times New Roman" w:cs="Times New Roman"/>
          <w:b/>
          <w:sz w:val="26"/>
          <w:szCs w:val="26"/>
        </w:rPr>
      </w:pPr>
      <w:bookmarkStart w:id="9" w:name="_Toc14419301"/>
      <w:r>
        <w:rPr>
          <w:rFonts w:ascii="Times New Roman" w:hAnsi="Times New Roman" w:cs="Times New Roman"/>
          <w:b/>
          <w:bCs/>
          <w:sz w:val="26"/>
          <w:szCs w:val="26"/>
        </w:rPr>
        <w:lastRenderedPageBreak/>
        <w:t>П</w:t>
      </w:r>
      <w:r>
        <w:rPr>
          <w:rFonts w:ascii="Times New Roman" w:hAnsi="Times New Roman" w:cs="Times New Roman"/>
          <w:b/>
          <w:sz w:val="26"/>
          <w:szCs w:val="26"/>
        </w:rPr>
        <w:t xml:space="preserve">еречень </w:t>
      </w:r>
      <w:proofErr w:type="gramStart"/>
      <w:r>
        <w:rPr>
          <w:rFonts w:ascii="Times New Roman" w:hAnsi="Times New Roman" w:cs="Times New Roman"/>
          <w:b/>
          <w:sz w:val="26"/>
          <w:szCs w:val="26"/>
        </w:rPr>
        <w:t>координат характерных точек границ зон планируемого размещения линейных</w:t>
      </w:r>
      <w:proofErr w:type="gramEnd"/>
      <w:r>
        <w:rPr>
          <w:rFonts w:ascii="Times New Roman" w:hAnsi="Times New Roman" w:cs="Times New Roman"/>
          <w:b/>
          <w:sz w:val="26"/>
          <w:szCs w:val="26"/>
        </w:rPr>
        <w:t xml:space="preserve"> объектов, подлежащих переносу (переустройству) из зон планируемого размещения линейных объектов</w:t>
      </w:r>
      <w:bookmarkEnd w:id="9"/>
    </w:p>
    <w:p w:rsidR="00912A64" w:rsidRDefault="0067590C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Линейные объекты, подлежащие переносу (переустройству) из зоны планируемого размещения линейного объекта, отсутствуют.</w:t>
      </w:r>
    </w:p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keepNext/>
        <w:numPr>
          <w:ilvl w:val="1"/>
          <w:numId w:val="32"/>
        </w:numPr>
        <w:overflowPunct w:val="0"/>
        <w:autoSpaceDE w:val="0"/>
        <w:autoSpaceDN w:val="0"/>
        <w:adjustRightInd w:val="0"/>
        <w:spacing w:after="240"/>
        <w:ind w:left="851" w:right="142" w:firstLine="0"/>
        <w:jc w:val="both"/>
        <w:textAlignment w:val="baseline"/>
        <w:outlineLvl w:val="1"/>
        <w:rPr>
          <w:rFonts w:ascii="Times New Roman" w:hAnsi="Times New Roman" w:cs="Times New Roman"/>
          <w:b/>
          <w:bCs/>
          <w:sz w:val="26"/>
          <w:szCs w:val="26"/>
        </w:rPr>
      </w:pPr>
      <w:bookmarkStart w:id="10" w:name="_Toc14419302"/>
      <w:r>
        <w:rPr>
          <w:rFonts w:ascii="Times New Roman" w:hAnsi="Times New Roman" w:cs="Times New Roman"/>
          <w:b/>
          <w:bCs/>
          <w:sz w:val="26"/>
          <w:szCs w:val="26"/>
        </w:rPr>
        <w:t>П</w:t>
      </w:r>
      <w:r>
        <w:rPr>
          <w:rFonts w:ascii="Times New Roman" w:hAnsi="Times New Roman" w:cs="Times New Roman"/>
          <w:b/>
          <w:sz w:val="26"/>
          <w:szCs w:val="26"/>
        </w:rPr>
        <w:t>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0"/>
    </w:p>
    <w:p w:rsidR="00912A64" w:rsidRDefault="00912A64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Строительство объектов капитального строительства в составе линейного объекта не предусмотрено. Предельные параметры разрешенного строительства, реконструкции объектов капитального строительства представлены в таблице 5.</w:t>
      </w:r>
    </w:p>
    <w:p w:rsidR="00912A64" w:rsidRDefault="00912A64">
      <w:pPr>
        <w:ind w:left="170" w:right="170" w:firstLine="680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170" w:right="170" w:firstLine="68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Предельные параметры разрешенного строительства</w:t>
      </w:r>
    </w:p>
    <w:p w:rsidR="00912A64" w:rsidRDefault="0067590C">
      <w:pPr>
        <w:ind w:left="170" w:right="170" w:firstLine="680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Таблица 5</w:t>
      </w:r>
    </w:p>
    <w:tbl>
      <w:tblPr>
        <w:tblStyle w:val="2e"/>
        <w:tblW w:w="0" w:type="auto"/>
        <w:tblInd w:w="250" w:type="dxa"/>
        <w:tblLook w:val="04A0" w:firstRow="1" w:lastRow="0" w:firstColumn="1" w:lastColumn="0" w:noHBand="0" w:noVBand="1"/>
      </w:tblPr>
      <w:tblGrid>
        <w:gridCol w:w="6504"/>
        <w:gridCol w:w="2852"/>
      </w:tblGrid>
      <w:tr w:rsidR="00912A64">
        <w:trPr>
          <w:trHeight w:val="20"/>
          <w:tblHeader/>
        </w:trPr>
        <w:tc>
          <w:tcPr>
            <w:tcW w:w="650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Предельный параметр</w:t>
            </w:r>
          </w:p>
        </w:tc>
        <w:tc>
          <w:tcPr>
            <w:tcW w:w="2852" w:type="dxa"/>
            <w:vAlign w:val="center"/>
          </w:tcPr>
          <w:p w:rsidR="00912A64" w:rsidRDefault="0067590C">
            <w:pPr>
              <w:ind w:right="17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Значение</w:t>
            </w:r>
          </w:p>
        </w:tc>
      </w:tr>
      <w:tr w:rsidR="00912A64">
        <w:trPr>
          <w:trHeight w:val="20"/>
        </w:trPr>
        <w:tc>
          <w:tcPr>
            <w:tcW w:w="6504" w:type="dxa"/>
          </w:tcPr>
          <w:p w:rsidR="00912A64" w:rsidRDefault="0067590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Предельное количество этажей и (или) предельная высота объектов капитального строительства, входящих в состав линейного объекта, в границах каждой зоны планируемого размещения таких объектов</w:t>
            </w:r>
          </w:p>
        </w:tc>
        <w:tc>
          <w:tcPr>
            <w:tcW w:w="2852" w:type="dxa"/>
            <w:vMerge w:val="restart"/>
            <w:vAlign w:val="center"/>
          </w:tcPr>
          <w:p w:rsidR="00912A64" w:rsidRDefault="0067590C">
            <w:pPr>
              <w:ind w:right="17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не подлежат установлению</w:t>
            </w:r>
          </w:p>
          <w:p w:rsidR="00912A64" w:rsidRDefault="00912A64">
            <w:pPr>
              <w:ind w:right="17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12A64">
        <w:trPr>
          <w:trHeight w:val="20"/>
        </w:trPr>
        <w:tc>
          <w:tcPr>
            <w:tcW w:w="6504" w:type="dxa"/>
          </w:tcPr>
          <w:p w:rsidR="00912A64" w:rsidRDefault="0067590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Максимальный процент застройки каждой зоны планируемого размещения объектов капитального строительства, входящих в состав линейного объекта, определяемый как отношение площади зоны планируемого размещения объекта капитального строительства, входящего в состав линейного объекта, которая может быть застроена, ко всей площади этой зоны</w:t>
            </w:r>
          </w:p>
        </w:tc>
        <w:tc>
          <w:tcPr>
            <w:tcW w:w="2852" w:type="dxa"/>
            <w:vMerge/>
            <w:vAlign w:val="center"/>
          </w:tcPr>
          <w:p w:rsidR="00912A64" w:rsidRDefault="00912A64">
            <w:pPr>
              <w:ind w:right="170" w:firstLine="68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12A64">
        <w:trPr>
          <w:trHeight w:val="20"/>
        </w:trPr>
        <w:tc>
          <w:tcPr>
            <w:tcW w:w="6504" w:type="dxa"/>
          </w:tcPr>
          <w:p w:rsidR="00912A64" w:rsidRDefault="0067590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Минимальные отступы от границ земельных участков в целях определения мест допустимого размещения объектов капитального строительства, которые входят в состав линейного объекта и за пределами которых запрещено строительство таких объектов, в границах каждой зоны планируемого размещения объектов капитального строительства, входящих в состав линейного объекта</w:t>
            </w:r>
          </w:p>
        </w:tc>
        <w:tc>
          <w:tcPr>
            <w:tcW w:w="2852" w:type="dxa"/>
            <w:vMerge/>
            <w:vAlign w:val="center"/>
          </w:tcPr>
          <w:p w:rsidR="00912A64" w:rsidRDefault="00912A64">
            <w:pPr>
              <w:ind w:right="170" w:firstLine="68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12A64">
        <w:trPr>
          <w:trHeight w:val="20"/>
        </w:trPr>
        <w:tc>
          <w:tcPr>
            <w:tcW w:w="6504" w:type="dxa"/>
          </w:tcPr>
          <w:p w:rsidR="00912A64" w:rsidRDefault="0067590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Требования к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архитектурным решениям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объектов капитального строительства, входящих в состав линейного объекта, в границах каждой зоны планируемого размещения таких объектов, расположенной в границах территории исторического поселения федерального или регионального значения, с указанием:</w:t>
            </w:r>
          </w:p>
          <w:p w:rsidR="00912A64" w:rsidRDefault="0067590C">
            <w:pPr>
              <w:numPr>
                <w:ilvl w:val="0"/>
                <w:numId w:val="27"/>
              </w:numPr>
              <w:ind w:firstLine="459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Требований к цветовому решению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внешнего облика таких объектов;</w:t>
            </w:r>
          </w:p>
          <w:p w:rsidR="00912A64" w:rsidRDefault="0067590C">
            <w:pPr>
              <w:numPr>
                <w:ilvl w:val="0"/>
                <w:numId w:val="27"/>
              </w:numPr>
              <w:ind w:firstLine="459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требований к строительным материалам, определяющим внешний облик таких объектов;</w:t>
            </w:r>
          </w:p>
          <w:p w:rsidR="00912A64" w:rsidRDefault="0067590C">
            <w:pPr>
              <w:numPr>
                <w:ilvl w:val="0"/>
                <w:numId w:val="27"/>
              </w:numPr>
              <w:ind w:firstLine="459"/>
              <w:contextualSpacing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требований к объемно-пространственным, архитектурно-стилистическим и иным характеристикам таких объектов, влияющим на их внешний облик и (или) на композицию, а также на силуэт застройки исторического поселения</w:t>
            </w:r>
          </w:p>
        </w:tc>
        <w:tc>
          <w:tcPr>
            <w:tcW w:w="2852" w:type="dxa"/>
            <w:vMerge/>
            <w:vAlign w:val="center"/>
          </w:tcPr>
          <w:p w:rsidR="00912A64" w:rsidRDefault="00912A64">
            <w:pPr>
              <w:ind w:right="17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912A64" w:rsidRDefault="00912A64">
      <w:p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keepNext/>
        <w:numPr>
          <w:ilvl w:val="1"/>
          <w:numId w:val="32"/>
        </w:numPr>
        <w:overflowPunct w:val="0"/>
        <w:autoSpaceDE w:val="0"/>
        <w:autoSpaceDN w:val="0"/>
        <w:adjustRightInd w:val="0"/>
        <w:spacing w:after="240"/>
        <w:ind w:right="142"/>
        <w:jc w:val="center"/>
        <w:textAlignment w:val="baseline"/>
        <w:outlineLvl w:val="1"/>
        <w:rPr>
          <w:rFonts w:ascii="Times New Roman" w:hAnsi="Times New Roman" w:cs="Times New Roman"/>
          <w:b/>
          <w:bCs/>
          <w:sz w:val="26"/>
          <w:szCs w:val="26"/>
        </w:rPr>
      </w:pPr>
      <w:bookmarkStart w:id="11" w:name="_Toc20749160"/>
      <w:proofErr w:type="gramStart"/>
      <w:r>
        <w:rPr>
          <w:rFonts w:ascii="Times New Roman" w:hAnsi="Times New Roman" w:cs="Times New Roman"/>
          <w:b/>
          <w:sz w:val="26"/>
          <w:szCs w:val="26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1"/>
      <w:proofErr w:type="gramEnd"/>
    </w:p>
    <w:p w:rsidR="00912A64" w:rsidRDefault="00912A64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ind w:left="-426" w:right="170" w:firstLine="71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местах пересечения планируемых документацией по планировке территории линейных объектов с существующими линейными объектами предусматривается защитные футляры и переустройство ЛЭП (линии электропередачи).</w:t>
      </w:r>
    </w:p>
    <w:p w:rsidR="00912A64" w:rsidRDefault="0067590C">
      <w:pPr>
        <w:ind w:left="-426" w:right="170" w:firstLine="71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 территории проектирования расположены существующие объекты капитального строительства находящиеся на балансе АО «РН-</w:t>
      </w:r>
      <w:proofErr w:type="spellStart"/>
      <w:r>
        <w:rPr>
          <w:rFonts w:ascii="Times New Roman" w:hAnsi="Times New Roman" w:cs="Times New Roman"/>
          <w:sz w:val="26"/>
          <w:szCs w:val="26"/>
        </w:rPr>
        <w:t>Няганьнефтегаз</w:t>
      </w:r>
      <w:proofErr w:type="spellEnd"/>
      <w:r>
        <w:rPr>
          <w:rFonts w:ascii="Times New Roman" w:hAnsi="Times New Roman" w:cs="Times New Roman"/>
          <w:sz w:val="26"/>
          <w:szCs w:val="26"/>
        </w:rPr>
        <w:t>. Кустовая площадка № 601 была ранее реконструирована в рамках проекта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Красноленинское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НГКМ. </w:t>
      </w:r>
      <w:proofErr w:type="spellStart"/>
      <w:r>
        <w:rPr>
          <w:rFonts w:ascii="Times New Roman" w:hAnsi="Times New Roman" w:cs="Times New Roman"/>
          <w:sz w:val="26"/>
          <w:szCs w:val="26"/>
        </w:rPr>
        <w:t>Талинский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ЛУ. Ку</w:t>
      </w:r>
      <w:proofErr w:type="gramStart"/>
      <w:r>
        <w:rPr>
          <w:rFonts w:ascii="Times New Roman" w:hAnsi="Times New Roman" w:cs="Times New Roman"/>
          <w:sz w:val="26"/>
          <w:szCs w:val="26"/>
        </w:rPr>
        <w:t>ст скв</w:t>
      </w:r>
      <w:proofErr w:type="gramEnd"/>
      <w:r>
        <w:rPr>
          <w:rFonts w:ascii="Times New Roman" w:hAnsi="Times New Roman" w:cs="Times New Roman"/>
          <w:sz w:val="26"/>
          <w:szCs w:val="26"/>
        </w:rPr>
        <w:t>ажин №601. Скважины 106</w:t>
      </w:r>
      <w:r>
        <w:rPr>
          <w:rFonts w:ascii="Times New Roman" w:hAnsi="Times New Roman" w:cs="Times New Roman"/>
          <w:sz w:val="26"/>
          <w:szCs w:val="26"/>
          <w:lang w:val="en-US"/>
        </w:rPr>
        <w:t>g</w:t>
      </w:r>
      <w:r>
        <w:rPr>
          <w:rFonts w:ascii="Times New Roman" w:hAnsi="Times New Roman" w:cs="Times New Roman"/>
          <w:sz w:val="26"/>
          <w:szCs w:val="26"/>
        </w:rPr>
        <w:t xml:space="preserve">, 110 </w:t>
      </w:r>
      <w:r>
        <w:rPr>
          <w:rFonts w:ascii="Times New Roman" w:hAnsi="Times New Roman" w:cs="Times New Roman"/>
          <w:sz w:val="26"/>
          <w:szCs w:val="26"/>
          <w:lang w:val="en-US"/>
        </w:rPr>
        <w:t>g</w:t>
      </w:r>
      <w:r>
        <w:rPr>
          <w:rFonts w:ascii="Times New Roman" w:hAnsi="Times New Roman" w:cs="Times New Roman"/>
          <w:sz w:val="26"/>
          <w:szCs w:val="26"/>
        </w:rPr>
        <w:t xml:space="preserve">» утверждённая документация по проекту планировки территории Постановление от 16 сентября 2016 г. №349-п. Документация получила положительное заключение </w:t>
      </w:r>
      <w:proofErr w:type="spellStart"/>
      <w:r>
        <w:rPr>
          <w:rFonts w:ascii="Times New Roman" w:hAnsi="Times New Roman" w:cs="Times New Roman"/>
          <w:sz w:val="26"/>
          <w:szCs w:val="26"/>
        </w:rPr>
        <w:t>Главгосэкспертизы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№86-2-1-3-0014-017 от 17.11.2017. </w:t>
      </w:r>
    </w:p>
    <w:p w:rsidR="00912A64" w:rsidRDefault="00912A64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keepNext/>
        <w:overflowPunct w:val="0"/>
        <w:autoSpaceDE w:val="0"/>
        <w:autoSpaceDN w:val="0"/>
        <w:adjustRightInd w:val="0"/>
        <w:spacing w:after="240"/>
        <w:ind w:left="851" w:right="142"/>
        <w:jc w:val="center"/>
        <w:textAlignment w:val="baseline"/>
        <w:outlineLvl w:val="1"/>
        <w:rPr>
          <w:rFonts w:ascii="Times New Roman" w:hAnsi="Times New Roman" w:cs="Times New Roman"/>
          <w:b/>
          <w:bCs/>
          <w:sz w:val="26"/>
          <w:szCs w:val="26"/>
        </w:rPr>
      </w:pPr>
      <w:bookmarkStart w:id="12" w:name="_Toc20749161"/>
      <w:r>
        <w:rPr>
          <w:rFonts w:ascii="Times New Roman" w:hAnsi="Times New Roman" w:cs="Times New Roman"/>
          <w:b/>
          <w:sz w:val="26"/>
          <w:szCs w:val="26"/>
        </w:rPr>
        <w:t>2.7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2"/>
    </w:p>
    <w:p w:rsidR="00912A64" w:rsidRDefault="0067590C">
      <w:pPr>
        <w:ind w:left="-426" w:right="170" w:firstLine="68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Согласно актам государственной историко-культурной экспертизы на планируемой территории, подлежащей хозяйственному освоению,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 отсутствуют. </w:t>
      </w:r>
    </w:p>
    <w:p w:rsidR="00912A64" w:rsidRDefault="0067590C">
      <w:pPr>
        <w:ind w:left="-426" w:right="170" w:firstLine="68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Планируемая территория расположена вне зон охраны и защитных зон объектов культурного наследия.</w:t>
      </w:r>
    </w:p>
    <w:p w:rsidR="00912A64" w:rsidRDefault="00912A64">
      <w:pPr>
        <w:keepNext/>
        <w:overflowPunct w:val="0"/>
        <w:autoSpaceDE w:val="0"/>
        <w:autoSpaceDN w:val="0"/>
        <w:adjustRightInd w:val="0"/>
        <w:spacing w:after="240"/>
        <w:ind w:left="851" w:right="142"/>
        <w:jc w:val="center"/>
        <w:textAlignment w:val="baseline"/>
        <w:outlineLvl w:val="1"/>
        <w:rPr>
          <w:rFonts w:cs="Times New Roman"/>
          <w:b/>
          <w:bCs/>
        </w:rPr>
      </w:pPr>
    </w:p>
    <w:p w:rsidR="00912A64" w:rsidRDefault="00912A64">
      <w:pPr>
        <w:ind w:firstLine="709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keepNext/>
        <w:numPr>
          <w:ilvl w:val="1"/>
          <w:numId w:val="35"/>
        </w:numPr>
        <w:overflowPunct w:val="0"/>
        <w:autoSpaceDE w:val="0"/>
        <w:autoSpaceDN w:val="0"/>
        <w:adjustRightInd w:val="0"/>
        <w:spacing w:after="240"/>
        <w:ind w:left="993" w:right="142" w:firstLine="0"/>
        <w:contextualSpacing/>
        <w:jc w:val="both"/>
        <w:textAlignment w:val="baseline"/>
        <w:outlineLvl w:val="1"/>
        <w:rPr>
          <w:rFonts w:ascii="Times New Roman" w:hAnsi="Times New Roman" w:cs="Times New Roman"/>
          <w:b/>
          <w:bCs/>
          <w:sz w:val="26"/>
          <w:szCs w:val="26"/>
        </w:rPr>
      </w:pPr>
      <w:bookmarkStart w:id="13" w:name="_Toc20749162"/>
      <w:r>
        <w:rPr>
          <w:rFonts w:ascii="Times New Roman" w:hAnsi="Times New Roman" w:cs="Times New Roman"/>
          <w:b/>
          <w:sz w:val="26"/>
          <w:szCs w:val="26"/>
        </w:rPr>
        <w:lastRenderedPageBreak/>
        <w:t>Информация о необходимости осуществления мероприятий по охране окружающей среды</w:t>
      </w:r>
      <w:bookmarkEnd w:id="13"/>
    </w:p>
    <w:p w:rsidR="00912A64" w:rsidRDefault="0067590C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На всех стадиях строительства и дальнейшей эксплуатации линейного объекта, несмотря на применение современных технологий и оборудования, будет оказываться определенное влияние на природные экосистемы (атмосферный воздух, поверхностные и подземные воды, почвы, животный и растительный мир).</w:t>
      </w:r>
    </w:p>
    <w:p w:rsidR="00912A64" w:rsidRDefault="0067590C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Для предотвращения и снижения последствий влияния линейного объекта необходимо предусмотреть комплекс мероприятий, обеспечивающих минимизацию воздействия планируемого к размещению линейного объекта на окружающую среду:</w:t>
      </w:r>
    </w:p>
    <w:p w:rsidR="00912A64" w:rsidRDefault="0067590C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мероприятия по защите поверхностных и подземных вод;</w:t>
      </w:r>
    </w:p>
    <w:p w:rsidR="00912A64" w:rsidRDefault="0067590C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мероприятия по охране атмосферного воздуха;</w:t>
      </w:r>
    </w:p>
    <w:p w:rsidR="00912A64" w:rsidRDefault="0067590C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мероприятия по охране земельных ресурсов и растительности;</w:t>
      </w:r>
    </w:p>
    <w:p w:rsidR="00912A64" w:rsidRDefault="0067590C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мероприятия по охране животного мира.</w:t>
      </w:r>
    </w:p>
    <w:p w:rsidR="00912A64" w:rsidRDefault="0067590C">
      <w:pPr>
        <w:suppressAutoHyphens/>
        <w:ind w:left="-218" w:right="27" w:firstLine="502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Общая характеристика экологической обстановки, в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т.ч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. в районе размещения объекта, содержится в ежегодно публикуемых специально уполномоченными органами докладах «Об экологической ситуации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в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Ханты-Мансийском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 автономном округе – Югре».</w:t>
      </w:r>
    </w:p>
    <w:p w:rsidR="00912A64" w:rsidRDefault="0067590C">
      <w:pPr>
        <w:suppressAutoHyphens/>
        <w:ind w:left="-218" w:right="27" w:firstLine="502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Характеристика радиационной ситуации на территории Ханты-Мансийского автономного округа дана в радиационно-гигиеническом паспорте и в Государственном докладе «О состоянии санитарно-эпидемиологического благополучия населения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в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Ханты-Мансийском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 xml:space="preserve"> автономном округе – Югре».</w:t>
      </w:r>
    </w:p>
    <w:p w:rsidR="00912A64" w:rsidRDefault="0067590C">
      <w:pPr>
        <w:ind w:left="-284" w:right="170" w:firstLine="50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 основании прогнозных оценок разработан комплекс мероприятий по охране атмосферного воздуха, гидросферы, земельных ресурсов, растительного и животного мира. При реализации проектных решений уровень загрязнения и режим природопользования на территории строительства существенно не изменится.</w:t>
      </w:r>
    </w:p>
    <w:p w:rsidR="00912A64" w:rsidRDefault="0067590C">
      <w:pPr>
        <w:suppressAutoHyphens/>
        <w:ind w:left="-284" w:right="27" w:firstLine="502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Система контроля и диагностики состояния проектируемого оборудования, а также организация экологического мониторинга направлены на превентивную защиту окружающей природной среды от негативного воздействия антропогенной деятельности.</w:t>
      </w:r>
    </w:p>
    <w:p w:rsidR="00912A64" w:rsidRDefault="00912A64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912A64">
      <w:pPr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numPr>
          <w:ilvl w:val="1"/>
          <w:numId w:val="35"/>
        </w:numPr>
        <w:ind w:right="142"/>
        <w:jc w:val="both"/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912A64" w:rsidRDefault="00912A64">
      <w:pPr>
        <w:ind w:right="142"/>
        <w:jc w:val="both"/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</w:pPr>
    </w:p>
    <w:p w:rsidR="00912A64" w:rsidRDefault="0067590C">
      <w:pPr>
        <w:spacing w:line="276" w:lineRule="auto"/>
        <w:ind w:left="-426" w:right="142" w:firstLine="71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Согласно СП 20.13330.2016 и СП 131.13330.2012 приняты следующие данные: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-426" w:right="142" w:firstLine="71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нормативное значение ветрового давления по I району – 0,23 кПа;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-426" w:right="142" w:firstLine="71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нормативная снеговая нагрузка по V снеговому району – 2,5 кПа;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-426" w:right="142" w:firstLine="71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расчетная температура наружного воздуха: наиболее холодной пятидневки минус  41</w:t>
      </w:r>
      <w:r>
        <w:rPr>
          <w:rFonts w:ascii="Times New Roman" w:hAnsi="Times New Roman" w:cs="Times New Roman"/>
          <w:kern w:val="28"/>
          <w:sz w:val="26"/>
          <w:szCs w:val="26"/>
          <w:vertAlign w:val="superscript"/>
        </w:rPr>
        <w:t>0</w:t>
      </w:r>
      <w:r>
        <w:rPr>
          <w:rFonts w:ascii="Times New Roman" w:hAnsi="Times New Roman" w:cs="Times New Roman"/>
          <w:kern w:val="28"/>
          <w:sz w:val="26"/>
          <w:szCs w:val="26"/>
        </w:rPr>
        <w:t>С с обеспеченностью 0,92; наиболее холодных суток - минус 45</w:t>
      </w:r>
      <w:r>
        <w:rPr>
          <w:rFonts w:ascii="Times New Roman" w:hAnsi="Times New Roman" w:cs="Times New Roman"/>
          <w:kern w:val="28"/>
          <w:sz w:val="26"/>
          <w:szCs w:val="26"/>
          <w:vertAlign w:val="superscript"/>
        </w:rPr>
        <w:t>0</w:t>
      </w:r>
      <w:r>
        <w:rPr>
          <w:rFonts w:ascii="Times New Roman" w:hAnsi="Times New Roman" w:cs="Times New Roman"/>
          <w:kern w:val="28"/>
          <w:sz w:val="26"/>
          <w:szCs w:val="26"/>
        </w:rPr>
        <w:t>С с обеспеченностью 0,92.</w:t>
      </w:r>
    </w:p>
    <w:p w:rsidR="00912A64" w:rsidRDefault="0067590C">
      <w:pPr>
        <w:spacing w:line="276" w:lineRule="auto"/>
        <w:ind w:left="-426" w:right="142" w:firstLine="71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Характеристика поражающих факторов источников чрезвычайных ситуаций приведена в таблице 6.</w:t>
      </w:r>
    </w:p>
    <w:p w:rsidR="00912A64" w:rsidRDefault="0067590C">
      <w:pPr>
        <w:spacing w:before="6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Таблица 6 - Характеристики поражающих факторов источников чрезвычайных ситуаций</w:t>
      </w:r>
    </w:p>
    <w:tbl>
      <w:tblPr>
        <w:tblW w:w="9639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6180"/>
      </w:tblGrid>
      <w:tr w:rsidR="00912A64">
        <w:trPr>
          <w:trHeight w:val="454"/>
          <w:tblHeader/>
          <w:jc w:val="center"/>
        </w:trPr>
        <w:tc>
          <w:tcPr>
            <w:tcW w:w="34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912A64" w:rsidRDefault="0067590C">
            <w:pPr>
              <w:widowControl w:val="0"/>
              <w:ind w:left="170" w:right="-141" w:hanging="29"/>
              <w:jc w:val="center"/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  <w:lastRenderedPageBreak/>
              <w:t>Источник ЧС</w:t>
            </w:r>
          </w:p>
        </w:tc>
        <w:tc>
          <w:tcPr>
            <w:tcW w:w="61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912A64" w:rsidRDefault="0067590C">
            <w:pPr>
              <w:widowControl w:val="0"/>
              <w:ind w:left="170" w:right="-141" w:hanging="29"/>
              <w:jc w:val="center"/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  <w:t>Характер воздействия поражающего фактора</w:t>
            </w:r>
          </w:p>
        </w:tc>
      </w:tr>
      <w:tr w:rsidR="00912A64">
        <w:trPr>
          <w:trHeight w:val="454"/>
          <w:jc w:val="center"/>
        </w:trPr>
        <w:tc>
          <w:tcPr>
            <w:tcW w:w="345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1" w:right="-141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Сильный ветер</w:t>
            </w:r>
          </w:p>
        </w:tc>
        <w:tc>
          <w:tcPr>
            <w:tcW w:w="618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3" w:right="34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Ветровая нагрузка, аэродинамическое давление на ограждающие конструкции</w:t>
            </w:r>
          </w:p>
        </w:tc>
      </w:tr>
      <w:tr w:rsidR="00912A64">
        <w:trPr>
          <w:trHeight w:val="454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1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Экстремальные атмосферные осадки (ливень, метель)</w:t>
            </w:r>
          </w:p>
        </w:tc>
        <w:tc>
          <w:tcPr>
            <w:tcW w:w="6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3" w:right="34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Затопление территории, подтопление фундаментов, снеговая нагрузка, ветровая нагрузка, снежные заносы</w:t>
            </w:r>
          </w:p>
        </w:tc>
      </w:tr>
      <w:tr w:rsidR="00912A64">
        <w:trPr>
          <w:trHeight w:val="454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1" w:right="-141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Град</w:t>
            </w:r>
          </w:p>
        </w:tc>
        <w:tc>
          <w:tcPr>
            <w:tcW w:w="6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3" w:right="34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Ударная динамическая нагрузка</w:t>
            </w:r>
          </w:p>
        </w:tc>
      </w:tr>
      <w:tr w:rsidR="00912A64">
        <w:trPr>
          <w:trHeight w:val="454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1" w:right="-141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Морозы</w:t>
            </w:r>
          </w:p>
        </w:tc>
        <w:tc>
          <w:tcPr>
            <w:tcW w:w="6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3" w:right="34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Температурные деформации ограждающих конструкций, замораживание и разрыв коммуникаций</w:t>
            </w:r>
          </w:p>
        </w:tc>
      </w:tr>
      <w:tr w:rsidR="00912A64">
        <w:trPr>
          <w:trHeight w:val="454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1" w:right="-141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Гроза</w:t>
            </w:r>
          </w:p>
        </w:tc>
        <w:tc>
          <w:tcPr>
            <w:tcW w:w="6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A64" w:rsidRDefault="0067590C">
            <w:pPr>
              <w:widowControl w:val="0"/>
              <w:ind w:left="93" w:right="34" w:hanging="29"/>
              <w:jc w:val="both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Электрические разряды</w:t>
            </w:r>
          </w:p>
        </w:tc>
      </w:tr>
    </w:tbl>
    <w:p w:rsidR="00912A64" w:rsidRDefault="00912A64">
      <w:pPr>
        <w:spacing w:line="276" w:lineRule="auto"/>
        <w:ind w:firstLine="709"/>
        <w:jc w:val="both"/>
        <w:rPr>
          <w:rFonts w:cs="Times New Roman"/>
          <w:i/>
          <w:kern w:val="28"/>
          <w:szCs w:val="20"/>
        </w:rPr>
      </w:pP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Климатические воздействия</w:t>
      </w:r>
      <w:r>
        <w:rPr>
          <w:rFonts w:ascii="Times New Roman" w:hAnsi="Times New Roman" w:cs="Times New Roman"/>
          <w:kern w:val="28"/>
          <w:sz w:val="26"/>
          <w:szCs w:val="26"/>
        </w:rPr>
        <w:t>, описанные выше, не представляют непосредственной опасности для жизни и здоровья работников объекта, однако они могут нанести ущерб  оборудованию, поэтому в проекте предусмотрены технические решения, направленные на максимальное снижение негативных воздействий особо опасных метеорологических процессов и явлений.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Технологические трубопроводы</w:t>
      </w:r>
      <w:r>
        <w:rPr>
          <w:rFonts w:ascii="Times New Roman" w:hAnsi="Times New Roman" w:cs="Times New Roman"/>
          <w:kern w:val="28"/>
          <w:sz w:val="26"/>
          <w:szCs w:val="26"/>
        </w:rPr>
        <w:t xml:space="preserve">, в пределах площадки куста скважин, запроектированы согласно ГОСТ 32569-2013, Руководству по безопасности «Рекомендации по устройству и безопасной эксплуатации технологических трубопроводов»,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утвержденное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 xml:space="preserve"> приказом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Ростехнадзора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от 27.12.2012 № 784. К технологическим трубопроводам относятся выкидные трубопроводы от добывающих скважин до ГЗУ, дренажные трубопроводы, нефтесборные трубопроводы в пределах кустовой площадки, трубопроводы системы ППД.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Предусматривается преимущественно подземная прокладка трубопроводов. Прокладка подземных технологических трубопроводов предусматривается после устройства свайных оснований под технологические блоки и кабельные эстакады.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При подземной прокладке трубопроводы должны располагаться в один ряд (в одной горизонтальной плоскости). Расстояние между ними в свету составляет не менее 0,4 м согласно ГОСТ 32569-2013.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Глубина заложения трубопроводов (выкидные трубопроводы, нефтегазосборные трубопроводы от ГЗУ, трубопроводы дренажа, трубопровод сбора газа от ГЗУ) принята 1,2 м от поверхности земли до нижней части трубы.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Глубина прокладки трубопроводов ППД выбрана с учетом минерализации воды принята 1,8 м от поверхности земли до нижней части трубы (при плотности воды 1006 кг/м3 согласно ГОСТ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Р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 xml:space="preserve"> 58367-2019 глубина укладки водовода от поверхности земли до верха трубы не менее 0,7 м). Выкидные трубопроводы, переводимые в нагнетание (Н62), проложены на глубине 1,2 м от низа трубы.</w:t>
      </w:r>
    </w:p>
    <w:p w:rsidR="00912A64" w:rsidRDefault="0067590C">
      <w:pPr>
        <w:spacing w:line="276" w:lineRule="auto"/>
        <w:ind w:left="-426" w:firstLine="568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Трубопроводы запроектированы из следующих труб: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-426" w:firstLine="568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нефтегазосборного трубопровода «Н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1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 xml:space="preserve">» от ГЗУ до границы куста - трубы стальные бесшовные горячедеформированные повышенной коррозионной стойкости класса прочности не ниже К48 из марки стали 09Г2С, диаметром 159х6 и 219х6 мм. </w:t>
      </w:r>
      <w:r>
        <w:rPr>
          <w:rFonts w:ascii="Times New Roman" w:hAnsi="Times New Roman" w:cs="Times New Roman"/>
          <w:kern w:val="28"/>
          <w:sz w:val="26"/>
          <w:szCs w:val="26"/>
        </w:rPr>
        <w:lastRenderedPageBreak/>
        <w:t>Подземная часть - с наружным двухслойным полиэтиленовым и внутренним двухслойным эпоксидным покрытием; надземная часть - с внутренним двухслойным эпоксидным покрытием.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0" w:hanging="36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технологические трубопроводы на кустовой площадке № 71 - трубы стальные бесшовные горячедеформированные повышенной коррозионной стойкости класса прочности не ниже К48 из марки стали 09Г2С. Подземная часть - с наружным двухслойным полиэтиленовым; надземная часть – без покрытия.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В местах пресечения нефтесборных, выкидных и дренажных трубопроводов дорогой предусмотрена укладка бетонных плит.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антикоррозионной защиты подземных участков нефтесборного трубопровода соответствующих фасонных деталей предусмотрено наружное двухслойное полиэтиленовое заводское покрытие.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Предусмотрено антикоррозионное покрытие внутренней и внешней поверхности емкостей, выполняемое в заводских условиях, для дренажной емкости.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i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Водоотведение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Затопление территории и подтопление фундаментов предотвращается планировкой территории площадки куста.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i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Снеговая нагрузка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Конструкции, примененные проектом, рассчитаны на восприятие снеговых нагрузок, установленных в дополнении к СП 20.13330.2016 для V снегового района строительства. 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нормального обслуживания объектов необходимо регулярная очистка  подъездной дороги и территории площадок от снега.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i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Ветровые нагрузки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В соответствии с требованиями СП 20.13330.2016 элементы сооружений объекта рассчитаны на восприятие ветровых нагрузок.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i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Лесные пожары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Предусмотрены мероприятия по защите от лесных пожаров: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- устройство ограждения по периметру куста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обваловкой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>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 минимальные противопожарные расстояния от проектируемых объектов до лесных массивов соответствуют нормативным значениям таблицы 6 СП 231.1311500.2015;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 использование конструкций и сооружений из несгораемых материалов;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 строгое соблюдение мер пожарной безопасности со стороны персонала и населения (недопущение неграмотного обращения с огнём, использование в лесу неисправной техники, проведение с/х «палов», сжигание порубочных остатков в местах лесозаготовок);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 разработка и наличие на предприятии плана тушения лесного пожара с определением способов и тактических приемов ликвидации пожара, распределение сил и средств, решающие направление боевых действий в соответствии с требованиями «Сборника методов по прогнозированию возможных аварий, катастроф, стихийных бедствий в РСЧС», книга 2.</w:t>
      </w:r>
    </w:p>
    <w:p w:rsidR="00912A64" w:rsidRDefault="0067590C">
      <w:pPr>
        <w:spacing w:line="276" w:lineRule="auto"/>
        <w:ind w:firstLine="426"/>
        <w:jc w:val="both"/>
        <w:rPr>
          <w:rFonts w:ascii="Times New Roman" w:hAnsi="Times New Roman" w:cs="Times New Roman"/>
          <w:i/>
          <w:kern w:val="28"/>
          <w:sz w:val="26"/>
          <w:szCs w:val="26"/>
        </w:rPr>
      </w:pPr>
      <w:proofErr w:type="spellStart"/>
      <w:r>
        <w:rPr>
          <w:rFonts w:ascii="Times New Roman" w:hAnsi="Times New Roman" w:cs="Times New Roman"/>
          <w:i/>
          <w:kern w:val="28"/>
          <w:sz w:val="26"/>
          <w:szCs w:val="26"/>
        </w:rPr>
        <w:t>Молниезащита</w:t>
      </w:r>
      <w:proofErr w:type="spellEnd"/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lastRenderedPageBreak/>
        <w:t>Для защиты людей от поражения электрическим током все нетоковедущие металлические части электрооборудования подлежат защитному заземлению (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занулению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). Для этого применяется нулевой защитный проводник, соединенный с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глухозаземленной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нейтралью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трансформатора. 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В электроустановках до 1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кВ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выполнено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зануление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, а выше 1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кВ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>-заземление.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Тип системы заземления «TN-S» - до 1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кВ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>, «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изолированная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нейтраль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» - до 6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кВ.</w:t>
      </w:r>
      <w:proofErr w:type="spellEnd"/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защиты людей от поражения электрическим током при прямом прикосновении в нормальном режиме применена основная изоляция токоведущих частей.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защиты людей от поражения электрическим током в случае повреждения изоляции при косвенном прикосновении применяются: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уравнивание потенциалов;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защитное заземление;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автоматическое отключение питания.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Основная система уравнивания потенциалов в блоках осуществляется путем соединения между собой следующих токопроводящих частей: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защитный проводник (PE-проводник) питающей линии;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металлический каркас;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металлические трубы коммуникаций, входящих в блоки и сооружения;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металлические короба систем вентиляции;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 xml:space="preserve">заземляющий проводник, присоединенный к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искусственному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 xml:space="preserve"> заземлителю;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</w:t>
      </w:r>
      <w:r>
        <w:rPr>
          <w:rFonts w:ascii="Times New Roman" w:hAnsi="Times New Roman" w:cs="Times New Roman"/>
          <w:kern w:val="28"/>
          <w:sz w:val="26"/>
          <w:szCs w:val="26"/>
        </w:rPr>
        <w:tab/>
        <w:t>металлические оболочки силовых и контрольных кабелей.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Соединение указанных проводящих частей между собой выполнено при помощи главных заземляющих шин (ГЗШ), установленных в технологических блоках в запираемых ящиках  вблизи вводных устройств в доступном для обслуживания месте.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Система дополнительного уравнивания потенциалов объединяет между собой все одновременно доступные прикосновению открытые проводящие части стационарного оборудования и сторонние проводящие части. В качестве проводников системы дополнительного уравнивания потенциалов используются металлические основания и каркасы блоков.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создания непрерывной электрической цепи все металлические элементы эстакады и кабельных лотков (коробов), связанные друг с другом, соединяются  перемычками из оцинкованной полосы с помощью оцинкованных зажимов.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С целью защиты персонала от поражения электрическим током при пробое изоляции, статического электричества и опасных воздействий молнии предусматривается заземляющее устройство, состоящее из магистралей заземления, защитных проводников, заземлителей, связанное с нулевым выводом питающего трансформатора.</w:t>
      </w:r>
    </w:p>
    <w:p w:rsidR="00912A64" w:rsidRDefault="0067590C">
      <w:pPr>
        <w:spacing w:line="276" w:lineRule="auto"/>
        <w:ind w:left="-426" w:firstLine="426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Заземляющее устройство выполнено из 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оцинкованных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 xml:space="preserve"> вертикальных, соединенных оцинкованной стальной полосой.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Все металлические нетоковедущие части электрооборудования, дренажная емкость для производственных стоков, металлоконструкции заземлить оцинкованной стальной полосой.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lastRenderedPageBreak/>
        <w:t>Защита от опасных воздействий молнии выполнена согласно требованиям РД 34.21.122-87, СО 153-34.21.122-2003, защита от статического электричества - ГОСТ12.4.124-83.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Блоки и сооружения, имеющие по ПУЭ класс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взрыво-пожароопасности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В-</w:t>
      </w:r>
      <w:proofErr w:type="spellStart"/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I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>а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>, защищены от прямых ударов молнии, ее вторичных проявлений и заноса высоких потенциалов через наземные и подземные металлические коммуникации.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Молниезащита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блочных сооружений, обеспечивается путем присоединения металлоконструкций этих сооружений к контуру заземления.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Молниезащита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КТП выполняется ограничителями перенапряжения, установленными на вводе заводом изготовителем.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Молниезащита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кабельной эстакады обеспечивается присоединением металлических стоек эстакады к заземляющему устройству в начале и конце трассы.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proofErr w:type="spellStart"/>
      <w:r>
        <w:rPr>
          <w:rFonts w:ascii="Times New Roman" w:hAnsi="Times New Roman" w:cs="Times New Roman"/>
          <w:color w:val="000000"/>
          <w:kern w:val="28"/>
          <w:sz w:val="26"/>
          <w:szCs w:val="26"/>
          <w:lang w:eastAsia="en-US"/>
        </w:rPr>
        <w:t>Молниезащита</w:t>
      </w:r>
      <w:proofErr w:type="spellEnd"/>
      <w:r>
        <w:rPr>
          <w:rFonts w:ascii="Times New Roman" w:hAnsi="Times New Roman" w:cs="Times New Roman"/>
          <w:color w:val="000000"/>
          <w:kern w:val="28"/>
          <w:sz w:val="26"/>
          <w:szCs w:val="26"/>
          <w:lang w:eastAsia="en-US"/>
        </w:rPr>
        <w:t xml:space="preserve"> оборудования обеспечивается ограничителями перенапряжения, установленными на концевых опорах ВЛ-6кВ.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защиты от вторичных проявлений молнии необходимо: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 металлические корпуса всего оборудования и аппаратов присоединить к заземляющему устройству;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- трубопроводы и другие металлические конструкции в местах их сближения на расстоянии менее 10 см через каждые 30 м должны быть соединены перемычками.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Для создания непрерывной электрической цепи в местах установки фланцевых соединений, применяются перемычки из гибкого многожильного медного провода сечением не менее 16 мм. 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защиты от статического электричества и заноса высоких потенциалов  надземные и наземные коммуникации на вводе в сооружение и технологические площадки, а также ближайшая опора коммуникаций должны быть присоединены к заземляющему устройству.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Защита от прямых ударов молнии блоков и сооружений, имеющих класс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взрыво-пожароопасности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В-</w:t>
      </w:r>
      <w:proofErr w:type="spellStart"/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I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>г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, пространства над дыхательной трубой подземной дренажной емкости выполняется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отдельностоящим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молниеотводом на прожекторной мачте, и присоединением его к контуру заземляющего устройства.</w:t>
      </w:r>
    </w:p>
    <w:p w:rsidR="00912A64" w:rsidRDefault="0067590C">
      <w:pPr>
        <w:spacing w:line="276" w:lineRule="auto"/>
        <w:ind w:left="-426" w:firstLine="284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Комплекс мероприятий по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молниезащите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сооружений в зависимости от категории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молниезащиты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приведен в таблице 7.</w:t>
      </w:r>
    </w:p>
    <w:p w:rsidR="00912A64" w:rsidRDefault="0067590C">
      <w:pPr>
        <w:spacing w:before="60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Таблица 7 - Комплекс мероприятий по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молниезащите</w:t>
      </w:r>
      <w:proofErr w:type="spellEnd"/>
    </w:p>
    <w:tbl>
      <w:tblPr>
        <w:tblW w:w="992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80"/>
        <w:gridCol w:w="1900"/>
        <w:gridCol w:w="2442"/>
      </w:tblGrid>
      <w:tr w:rsidR="00912A64">
        <w:trPr>
          <w:trHeight w:val="340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ind w:left="170" w:right="170" w:firstLine="680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Наименование зданий и сооружений</w:t>
            </w:r>
          </w:p>
        </w:tc>
        <w:tc>
          <w:tcPr>
            <w:tcW w:w="190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12A64" w:rsidRDefault="0067590C">
            <w:pPr>
              <w:ind w:left="170" w:right="170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Категория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молниезащиты</w:t>
            </w:r>
            <w:proofErr w:type="spellEnd"/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ind w:left="170" w:right="170" w:firstLine="12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Характеристика сооружений и мероприятий</w:t>
            </w:r>
          </w:p>
        </w:tc>
      </w:tr>
      <w:tr w:rsidR="00912A64">
        <w:trPr>
          <w:trHeight w:val="454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Устье скважин </w:t>
            </w:r>
          </w:p>
        </w:tc>
        <w:tc>
          <w:tcPr>
            <w:tcW w:w="1900" w:type="dxa"/>
            <w:vAlign w:val="center"/>
            <w:hideMark/>
          </w:tcPr>
          <w:p w:rsidR="00912A64" w:rsidRDefault="0067590C">
            <w:pPr>
              <w:tabs>
                <w:tab w:val="left" w:pos="846"/>
              </w:tabs>
              <w:ind w:left="14" w:right="170" w:firstLine="162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II</w:t>
            </w:r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заземление</w:t>
            </w:r>
          </w:p>
        </w:tc>
      </w:tr>
      <w:tr w:rsidR="00912A64">
        <w:trPr>
          <w:trHeight w:val="454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Емкость дренажная для производственных стоков </w:t>
            </w:r>
          </w:p>
        </w:tc>
        <w:tc>
          <w:tcPr>
            <w:tcW w:w="1900" w:type="dxa"/>
            <w:vAlign w:val="center"/>
            <w:hideMark/>
          </w:tcPr>
          <w:p w:rsidR="00912A64" w:rsidRDefault="0067590C">
            <w:pPr>
              <w:tabs>
                <w:tab w:val="left" w:pos="846"/>
              </w:tabs>
              <w:ind w:left="14" w:right="170" w:firstLine="162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II</w:t>
            </w:r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молниеотвод, </w:t>
            </w:r>
          </w:p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заземление</w:t>
            </w:r>
          </w:p>
        </w:tc>
      </w:tr>
      <w:tr w:rsidR="00912A64">
        <w:trPr>
          <w:trHeight w:val="454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Групповая замерная установка (ГЗУ)</w:t>
            </w:r>
          </w:p>
        </w:tc>
        <w:tc>
          <w:tcPr>
            <w:tcW w:w="1900" w:type="dxa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II</w:t>
            </w:r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молниеотвод, заземление</w:t>
            </w:r>
          </w:p>
        </w:tc>
      </w:tr>
      <w:tr w:rsidR="00912A64">
        <w:trPr>
          <w:trHeight w:val="454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Блок гребенки (БГ)</w:t>
            </w:r>
          </w:p>
        </w:tc>
        <w:tc>
          <w:tcPr>
            <w:tcW w:w="1900" w:type="dxa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II</w:t>
            </w:r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заземление</w:t>
            </w:r>
          </w:p>
        </w:tc>
      </w:tr>
      <w:tr w:rsidR="00912A64">
        <w:trPr>
          <w:trHeight w:val="454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Блок контроля и управления (БМА)</w:t>
            </w:r>
          </w:p>
        </w:tc>
        <w:tc>
          <w:tcPr>
            <w:tcW w:w="1900" w:type="dxa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II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</w:t>
            </w:r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заземление</w:t>
            </w:r>
          </w:p>
        </w:tc>
      </w:tr>
      <w:tr w:rsidR="00912A64">
        <w:trPr>
          <w:trHeight w:val="454"/>
        </w:trPr>
        <w:tc>
          <w:tcPr>
            <w:tcW w:w="5580" w:type="dxa"/>
            <w:vAlign w:val="center"/>
            <w:hideMark/>
          </w:tcPr>
          <w:p w:rsidR="00912A64" w:rsidRDefault="0067590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Площадка с КТП, СУ и ТМПНГ</w:t>
            </w:r>
          </w:p>
        </w:tc>
        <w:tc>
          <w:tcPr>
            <w:tcW w:w="1900" w:type="dxa"/>
            <w:vAlign w:val="center"/>
            <w:hideMark/>
          </w:tcPr>
          <w:p w:rsidR="00912A64" w:rsidRDefault="0067590C">
            <w:pPr>
              <w:tabs>
                <w:tab w:val="left" w:pos="846"/>
              </w:tabs>
              <w:ind w:left="14" w:right="170" w:firstLine="162"/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III</w:t>
            </w:r>
          </w:p>
        </w:tc>
        <w:tc>
          <w:tcPr>
            <w:tcW w:w="2442" w:type="dxa"/>
            <w:vAlign w:val="center"/>
            <w:hideMark/>
          </w:tcPr>
          <w:p w:rsidR="00912A64" w:rsidRDefault="0067590C">
            <w:pPr>
              <w:tabs>
                <w:tab w:val="left" w:pos="708"/>
                <w:tab w:val="center" w:pos="4153"/>
                <w:tab w:val="right" w:pos="8306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заземление</w:t>
            </w:r>
          </w:p>
        </w:tc>
      </w:tr>
    </w:tbl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Сопротивление заземляющих устройств растеканию тока промышленной частоты должно быть: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нейтрали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трансформатора не более 4 Ом;</w:t>
      </w:r>
    </w:p>
    <w:p w:rsidR="00912A64" w:rsidRDefault="0067590C">
      <w:pPr>
        <w:widowControl w:val="0"/>
        <w:numPr>
          <w:ilvl w:val="0"/>
          <w:numId w:val="34"/>
        </w:num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защита от статического электричества – 100 Ом.</w:t>
      </w:r>
    </w:p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В качестве естественных заземлителей используются металлические сваи оснований, соединенные в единый контур заземления, через жесткую металлическую связь кабельной эстакады.</w:t>
      </w:r>
    </w:p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i/>
          <w:kern w:val="28"/>
          <w:sz w:val="26"/>
          <w:szCs w:val="26"/>
        </w:rPr>
      </w:pPr>
      <w:r>
        <w:rPr>
          <w:rFonts w:ascii="Times New Roman" w:hAnsi="Times New Roman" w:cs="Times New Roman"/>
          <w:i/>
          <w:kern w:val="28"/>
          <w:sz w:val="26"/>
          <w:szCs w:val="26"/>
        </w:rPr>
        <w:t>Мероприятия по инженерной защите от подтопления и морозного пучения</w:t>
      </w:r>
    </w:p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С целью защиты осваиваемой территории куста от затопления и подтопления фундаментов предусмотрена инженерная подготовка территории, которая включает в себя планировку территории куста, отсыпку грунтового основания куста, создание обвалования площадки.</w:t>
      </w:r>
    </w:p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 xml:space="preserve">С целью уменьшения/исключения </w:t>
      </w:r>
      <w:proofErr w:type="spellStart"/>
      <w:r>
        <w:rPr>
          <w:rFonts w:ascii="Times New Roman" w:hAnsi="Times New Roman" w:cs="Times New Roman"/>
          <w:kern w:val="28"/>
          <w:sz w:val="26"/>
          <w:szCs w:val="26"/>
        </w:rPr>
        <w:t>пучинистых</w:t>
      </w:r>
      <w:proofErr w:type="spellEnd"/>
      <w:r>
        <w:rPr>
          <w:rFonts w:ascii="Times New Roman" w:hAnsi="Times New Roman" w:cs="Times New Roman"/>
          <w:kern w:val="28"/>
          <w:sz w:val="26"/>
          <w:szCs w:val="26"/>
        </w:rPr>
        <w:t xml:space="preserve"> свой</w:t>
      </w:r>
      <w:proofErr w:type="gramStart"/>
      <w:r>
        <w:rPr>
          <w:rFonts w:ascii="Times New Roman" w:hAnsi="Times New Roman" w:cs="Times New Roman"/>
          <w:kern w:val="28"/>
          <w:sz w:val="26"/>
          <w:szCs w:val="26"/>
        </w:rPr>
        <w:t>ств гр</w:t>
      </w:r>
      <w:proofErr w:type="gramEnd"/>
      <w:r>
        <w:rPr>
          <w:rFonts w:ascii="Times New Roman" w:hAnsi="Times New Roman" w:cs="Times New Roman"/>
          <w:kern w:val="28"/>
          <w:sz w:val="26"/>
          <w:szCs w:val="26"/>
        </w:rPr>
        <w:t>унта предусмотрен метод, направленный на снижение влажности грунта. К такому методу относится подъем участка строительства за счет отсыпки грунтом (вертикальная планировка).</w:t>
      </w:r>
    </w:p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Для проектируемых сооружений рекомендуется применение свайных фундаментов. Для сооружений со свайным вариантом фундаментов длину сваи необходимо запроектировать на основании расчета, учитывающего воздействие на нее сил морозного пучения. Для сооружений с фундаментами на естественном основании необходимо устройство подушки из песчано-гравийной смеси.</w:t>
      </w:r>
    </w:p>
    <w:p w:rsidR="00912A64" w:rsidRDefault="0067590C">
      <w:pPr>
        <w:spacing w:line="276" w:lineRule="auto"/>
        <w:ind w:left="-426"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  <w:r>
        <w:rPr>
          <w:rFonts w:ascii="Times New Roman" w:hAnsi="Times New Roman" w:cs="Times New Roman"/>
          <w:kern w:val="28"/>
          <w:sz w:val="26"/>
          <w:szCs w:val="26"/>
        </w:rPr>
        <w:t>Принятые в проекте решения направлены на максимальное снижение негативных воздействий особо опасных погодных проявлений.</w:t>
      </w:r>
    </w:p>
    <w:p w:rsidR="00912A64" w:rsidRDefault="00912A64">
      <w:pPr>
        <w:ind w:right="142"/>
        <w:jc w:val="both"/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</w:pPr>
    </w:p>
    <w:p w:rsidR="00912A64" w:rsidRDefault="00912A6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6759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12A64" w:rsidRDefault="0067590C">
      <w:pPr>
        <w:keepNext/>
        <w:pageBreakBefore/>
        <w:tabs>
          <w:tab w:val="left" w:pos="709"/>
        </w:tabs>
        <w:overflowPunct w:val="0"/>
        <w:autoSpaceDE w:val="0"/>
        <w:autoSpaceDN w:val="0"/>
        <w:adjustRightInd w:val="0"/>
        <w:ind w:right="708"/>
        <w:jc w:val="both"/>
        <w:textAlignment w:val="baseline"/>
        <w:outlineLvl w:val="0"/>
        <w:rPr>
          <w:rFonts w:ascii="Times New Roman" w:hAnsi="Times New Roman" w:cs="Times New Roman"/>
          <w:b/>
          <w:caps/>
          <w:kern w:val="28"/>
          <w:sz w:val="26"/>
          <w:szCs w:val="26"/>
        </w:rPr>
      </w:pPr>
      <w:r>
        <w:rPr>
          <w:rFonts w:ascii="Times New Roman" w:hAnsi="Times New Roman" w:cs="Times New Roman"/>
          <w:b/>
          <w:caps/>
          <w:kern w:val="28"/>
          <w:sz w:val="26"/>
          <w:szCs w:val="26"/>
        </w:rPr>
        <w:lastRenderedPageBreak/>
        <w:t>Раздел 3. Проект межевания территории. Текстовая часть</w:t>
      </w:r>
    </w:p>
    <w:p w:rsidR="00912A64" w:rsidRDefault="00912A64">
      <w:pPr>
        <w:spacing w:line="276" w:lineRule="auto"/>
        <w:ind w:firstLine="709"/>
        <w:jc w:val="both"/>
        <w:rPr>
          <w:rFonts w:ascii="Times New Roman" w:hAnsi="Times New Roman" w:cs="Times New Roman"/>
          <w:kern w:val="28"/>
          <w:sz w:val="26"/>
          <w:szCs w:val="26"/>
        </w:rPr>
      </w:pPr>
    </w:p>
    <w:p w:rsidR="00912A64" w:rsidRDefault="0067590C">
      <w:pPr>
        <w:spacing w:line="276" w:lineRule="auto"/>
        <w:jc w:val="both"/>
        <w:rPr>
          <w:rFonts w:ascii="Times New Roman" w:hAnsi="Times New Roman" w:cs="Times New Roman"/>
          <w:b/>
          <w:kern w:val="28"/>
          <w:sz w:val="26"/>
          <w:szCs w:val="26"/>
        </w:rPr>
      </w:pPr>
      <w:r>
        <w:rPr>
          <w:rFonts w:ascii="Times New Roman" w:hAnsi="Times New Roman" w:cs="Times New Roman"/>
          <w:b/>
          <w:kern w:val="28"/>
          <w:sz w:val="26"/>
          <w:szCs w:val="26"/>
        </w:rPr>
        <w:t>3.1 Перечень и сведения о площади образуемых земельных участков, в том числе возможные способы их образования</w:t>
      </w:r>
    </w:p>
    <w:p w:rsidR="00912A64" w:rsidRDefault="00912A64">
      <w:pPr>
        <w:pStyle w:val="afff5"/>
        <w:ind w:left="0" w:firstLine="0"/>
        <w:jc w:val="center"/>
        <w:rPr>
          <w:rFonts w:ascii="Times New Roman" w:hAnsi="Times New Roman"/>
          <w:sz w:val="26"/>
          <w:szCs w:val="26"/>
        </w:rPr>
      </w:pPr>
    </w:p>
    <w:p w:rsidR="00912A64" w:rsidRDefault="0067590C">
      <w:pPr>
        <w:ind w:left="-426" w:right="170" w:firstLine="56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bidi="ru-RU"/>
        </w:rPr>
        <w:t xml:space="preserve">Подготовка проекта межевания территории </w:t>
      </w:r>
      <w:r>
        <w:rPr>
          <w:rFonts w:ascii="Times New Roman" w:hAnsi="Times New Roman" w:cs="Times New Roman"/>
          <w:sz w:val="26"/>
          <w:szCs w:val="26"/>
        </w:rPr>
        <w:t>линейного объекта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Красноленинское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НГКМ. </w:t>
      </w:r>
      <w:proofErr w:type="spellStart"/>
      <w:r>
        <w:rPr>
          <w:rFonts w:ascii="Times New Roman" w:hAnsi="Times New Roman" w:cs="Times New Roman"/>
          <w:sz w:val="26"/>
          <w:szCs w:val="26"/>
        </w:rPr>
        <w:t>Талинский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ЛУ. Ку</w:t>
      </w:r>
      <w:proofErr w:type="gramStart"/>
      <w:r>
        <w:rPr>
          <w:rFonts w:ascii="Times New Roman" w:hAnsi="Times New Roman" w:cs="Times New Roman"/>
          <w:sz w:val="26"/>
          <w:szCs w:val="26"/>
        </w:rPr>
        <w:t>ст скв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ажин №601. Корректировка» (далее – проект межевания территории) подготовлен на основании Приказа РФ ХМАО-ЮГРА Тюменской области Администрации Ханты-мансийского района департамента строительства, архитектуры и ЖКХ от  </w:t>
      </w:r>
      <w:r>
        <w:rPr>
          <w:rFonts w:ascii="Times New Roman" w:hAnsi="Times New Roman" w:cs="Times New Roman"/>
          <w:sz w:val="26"/>
          <w:szCs w:val="26"/>
          <w:u w:val="single"/>
        </w:rPr>
        <w:t>18 июня</w:t>
      </w:r>
      <w:r>
        <w:rPr>
          <w:rFonts w:ascii="Times New Roman" w:hAnsi="Times New Roman" w:cs="Times New Roman"/>
          <w:sz w:val="26"/>
          <w:szCs w:val="26"/>
        </w:rPr>
        <w:t xml:space="preserve"> 2020 года № </w:t>
      </w:r>
      <w:r>
        <w:rPr>
          <w:rFonts w:ascii="Times New Roman" w:hAnsi="Times New Roman" w:cs="Times New Roman"/>
          <w:sz w:val="26"/>
          <w:szCs w:val="26"/>
          <w:u w:val="single"/>
        </w:rPr>
        <w:t>66-н</w:t>
      </w:r>
      <w:r>
        <w:rPr>
          <w:rFonts w:ascii="Times New Roman" w:hAnsi="Times New Roman" w:cs="Times New Roman"/>
          <w:sz w:val="26"/>
          <w:szCs w:val="26"/>
        </w:rPr>
        <w:t xml:space="preserve"> «О подготовке документации по планировке территории для размещения объекта «</w:t>
      </w:r>
      <w:proofErr w:type="spellStart"/>
      <w:r>
        <w:rPr>
          <w:rFonts w:ascii="Times New Roman" w:hAnsi="Times New Roman" w:cs="Times New Roman"/>
          <w:sz w:val="26"/>
          <w:szCs w:val="26"/>
        </w:rPr>
        <w:t>Красноленинское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НГКМ. </w:t>
      </w:r>
      <w:proofErr w:type="spellStart"/>
      <w:r>
        <w:rPr>
          <w:rFonts w:ascii="Times New Roman" w:hAnsi="Times New Roman" w:cs="Times New Roman"/>
          <w:sz w:val="26"/>
          <w:szCs w:val="26"/>
        </w:rPr>
        <w:t>Талинский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ЛУ. Ку</w:t>
      </w:r>
      <w:proofErr w:type="gramStart"/>
      <w:r>
        <w:rPr>
          <w:rFonts w:ascii="Times New Roman" w:hAnsi="Times New Roman" w:cs="Times New Roman"/>
          <w:sz w:val="26"/>
          <w:szCs w:val="26"/>
        </w:rPr>
        <w:t>ст скв</w:t>
      </w:r>
      <w:proofErr w:type="gramEnd"/>
      <w:r>
        <w:rPr>
          <w:rFonts w:ascii="Times New Roman" w:hAnsi="Times New Roman" w:cs="Times New Roman"/>
          <w:sz w:val="26"/>
          <w:szCs w:val="26"/>
        </w:rPr>
        <w:t>ажин №601. Корректировка».</w:t>
      </w:r>
    </w:p>
    <w:p w:rsidR="00912A64" w:rsidRDefault="0067590C">
      <w:pPr>
        <w:ind w:left="-426" w:right="170" w:firstLine="56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Планировочные решения разработаны с учетом существующей ситуации, технологической схемы, рельефа местности, наиболее рационального использования земельных участков.</w:t>
      </w:r>
    </w:p>
    <w:p w:rsidR="00912A64" w:rsidRDefault="0067590C">
      <w:pPr>
        <w:ind w:left="-426" w:right="170" w:firstLine="56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размещения планируемого линейного объекта образованы земельные участки на период эксплуатации в долгосрочную аренду.</w:t>
      </w:r>
    </w:p>
    <w:p w:rsidR="00912A64" w:rsidRDefault="0067590C">
      <w:pPr>
        <w:spacing w:line="276" w:lineRule="auto"/>
        <w:ind w:left="-426" w:firstLine="56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Полоса отвода запланирована в соответствии со строительными нормами «Нормы отвода земель для электрических сетей напряжением 0,38-750кВ ВСН 14278тм-т1, в частности для планируемой ВЛ-6кВ ширина полосы земель, предоставляемой на период строительства должна быть не более 8 м.</w:t>
      </w:r>
    </w:p>
    <w:p w:rsidR="00912A64" w:rsidRDefault="0067590C">
      <w:pPr>
        <w:ind w:left="-426" w:right="170" w:firstLine="56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Сведения о площадях земельных участков, используемых для строительства планируемого линейного объекта, представлены в таблице 8.</w:t>
      </w:r>
    </w:p>
    <w:p w:rsidR="00912A64" w:rsidRDefault="00912A64">
      <w:pPr>
        <w:ind w:left="-426" w:right="170" w:firstLine="568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-426" w:right="170" w:firstLine="568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Перечень образуемых земельных участков (частей земельных участков)</w:t>
      </w:r>
    </w:p>
    <w:p w:rsidR="00912A64" w:rsidRDefault="00912A64">
      <w:pPr>
        <w:pStyle w:val="afff5"/>
        <w:rPr>
          <w:rFonts w:ascii="Times New Roman" w:hAnsi="Times New Roman"/>
          <w:sz w:val="26"/>
          <w:szCs w:val="26"/>
        </w:rPr>
      </w:pPr>
    </w:p>
    <w:p w:rsidR="00912A64" w:rsidRDefault="00912A64">
      <w:pPr>
        <w:pStyle w:val="afff5"/>
        <w:rPr>
          <w:rFonts w:ascii="Times New Roman" w:hAnsi="Times New Roman"/>
          <w:sz w:val="26"/>
          <w:szCs w:val="26"/>
        </w:rPr>
      </w:pPr>
    </w:p>
    <w:p w:rsidR="00912A64" w:rsidRDefault="0067590C">
      <w:pPr>
        <w:ind w:left="-426" w:right="170" w:firstLine="568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Таблица 8</w:t>
      </w:r>
    </w:p>
    <w:tbl>
      <w:tblPr>
        <w:tblW w:w="1020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47"/>
        <w:gridCol w:w="1988"/>
        <w:gridCol w:w="3537"/>
        <w:gridCol w:w="1990"/>
        <w:gridCol w:w="1845"/>
      </w:tblGrid>
      <w:tr w:rsidR="00912A64">
        <w:trPr>
          <w:trHeight w:val="700"/>
        </w:trPr>
        <w:tc>
          <w:tcPr>
            <w:tcW w:w="8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/п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Условный номер 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земельного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участка/части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Характеристика ЗУ/части ЗУ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Категория земель</w:t>
            </w:r>
          </w:p>
        </w:tc>
        <w:tc>
          <w:tcPr>
            <w:tcW w:w="1845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Площадь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кв.м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.)</w:t>
            </w:r>
          </w:p>
        </w:tc>
      </w:tr>
      <w:tr w:rsidR="00912A64">
        <w:trPr>
          <w:trHeight w:val="384"/>
        </w:trPr>
        <w:tc>
          <w:tcPr>
            <w:tcW w:w="10207" w:type="dxa"/>
            <w:gridSpan w:val="5"/>
            <w:tcBorders>
              <w:top w:val="single" w:sz="4" w:space="0" w:color="auto"/>
              <w:lef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МО «Ханты-Мансийский район» Ханты-Мансийский автономный округ Югры</w:t>
            </w:r>
          </w:p>
        </w:tc>
      </w:tr>
      <w:tr w:rsidR="00912A64"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02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1001001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2004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 xml:space="preserve">: 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Земельный участок для размещения площадки куста скважины 601 и опор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ВЛ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 10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кВ</w:t>
            </w:r>
            <w:proofErr w:type="spellEnd"/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 (на период эксплуатации)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Земли лесного фонда</w:t>
            </w:r>
          </w:p>
        </w:tc>
        <w:tc>
          <w:tcPr>
            <w:tcW w:w="1845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11267</w:t>
            </w:r>
          </w:p>
        </w:tc>
      </w:tr>
      <w:tr w:rsidR="00912A64"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br w:type="page"/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02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1001001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2004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 xml:space="preserve">: 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(2), ЗУ2(1)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Земельный участок для размещения площадки куста скважины 601 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(на период эксплуатации)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Земли лесного фонда</w:t>
            </w:r>
          </w:p>
        </w:tc>
        <w:tc>
          <w:tcPr>
            <w:tcW w:w="1845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38283</w:t>
            </w:r>
          </w:p>
        </w:tc>
      </w:tr>
    </w:tbl>
    <w:p w:rsidR="00912A64" w:rsidRDefault="0067590C">
      <w:r>
        <w:br w:type="page"/>
      </w:r>
    </w:p>
    <w:tbl>
      <w:tblPr>
        <w:tblW w:w="1020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47"/>
        <w:gridCol w:w="1988"/>
        <w:gridCol w:w="3537"/>
        <w:gridCol w:w="1990"/>
        <w:gridCol w:w="1845"/>
      </w:tblGrid>
      <w:tr w:rsidR="00912A64"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3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:0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0000000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7839\ЧЗУ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2A64" w:rsidRDefault="006759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Земельный участок для размещения площадки куста скважины 601  </w:t>
            </w:r>
          </w:p>
          <w:p w:rsidR="00912A64" w:rsidRDefault="0067590C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(на период эксплуатации)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Земли лесного фонда</w:t>
            </w:r>
          </w:p>
        </w:tc>
        <w:tc>
          <w:tcPr>
            <w:tcW w:w="1845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105</w:t>
            </w:r>
          </w:p>
        </w:tc>
      </w:tr>
      <w:tr w:rsidR="00912A64"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:02:0902001: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proofErr w:type="gramEnd"/>
          </w:p>
        </w:tc>
        <w:tc>
          <w:tcPr>
            <w:tcW w:w="35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Земельный участок для размещения площадки куста скважины 601 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(на период эксплуатации)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Земли запаса</w:t>
            </w:r>
          </w:p>
        </w:tc>
        <w:tc>
          <w:tcPr>
            <w:tcW w:w="1845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634</w:t>
            </w:r>
          </w:p>
        </w:tc>
      </w:tr>
      <w:tr w:rsidR="00912A64">
        <w:trPr>
          <w:trHeight w:val="355"/>
        </w:trPr>
        <w:tc>
          <w:tcPr>
            <w:tcW w:w="8362" w:type="dxa"/>
            <w:gridSpan w:val="4"/>
            <w:tcBorders>
              <w:top w:val="single" w:sz="4" w:space="0" w:color="auto"/>
              <w:left w:val="single" w:sz="4" w:space="0" w:color="auto"/>
            </w:tcBorders>
          </w:tcPr>
          <w:p w:rsidR="00912A64" w:rsidRDefault="0067590C">
            <w:pPr>
              <w:spacing w:after="200" w:line="276" w:lineRule="auto"/>
              <w:jc w:val="right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Общая  площадь,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кв.м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1845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50289</w:t>
            </w:r>
          </w:p>
        </w:tc>
      </w:tr>
    </w:tbl>
    <w:p w:rsidR="00912A64" w:rsidRDefault="00912A64">
      <w:pPr>
        <w:rPr>
          <w:rFonts w:ascii="Times New Roman" w:hAnsi="Times New Roman"/>
          <w:sz w:val="26"/>
          <w:szCs w:val="26"/>
        </w:rPr>
      </w:pPr>
    </w:p>
    <w:p w:rsidR="00912A64" w:rsidRDefault="0067590C">
      <w:pPr>
        <w:ind w:left="-426" w:firstLine="426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Всего для строительства и эксплуатации линейного объекта </w:t>
      </w:r>
      <w:proofErr w:type="spellStart"/>
      <w:r>
        <w:rPr>
          <w:rFonts w:ascii="Times New Roman" w:hAnsi="Times New Roman"/>
          <w:sz w:val="26"/>
          <w:szCs w:val="26"/>
        </w:rPr>
        <w:t>Красноленинское</w:t>
      </w:r>
      <w:proofErr w:type="spellEnd"/>
      <w:r>
        <w:rPr>
          <w:rFonts w:ascii="Times New Roman" w:hAnsi="Times New Roman"/>
          <w:sz w:val="26"/>
          <w:szCs w:val="26"/>
        </w:rPr>
        <w:t xml:space="preserve"> НГКМ. </w:t>
      </w:r>
      <w:proofErr w:type="spellStart"/>
      <w:r>
        <w:rPr>
          <w:rFonts w:ascii="Times New Roman" w:hAnsi="Times New Roman"/>
          <w:sz w:val="26"/>
          <w:szCs w:val="26"/>
        </w:rPr>
        <w:t>Талинский</w:t>
      </w:r>
      <w:proofErr w:type="spellEnd"/>
      <w:r>
        <w:rPr>
          <w:rFonts w:ascii="Times New Roman" w:hAnsi="Times New Roman"/>
          <w:sz w:val="26"/>
          <w:szCs w:val="26"/>
        </w:rPr>
        <w:t xml:space="preserve"> ЛУ. Ку</w:t>
      </w:r>
      <w:proofErr w:type="gramStart"/>
      <w:r>
        <w:rPr>
          <w:rFonts w:ascii="Times New Roman" w:hAnsi="Times New Roman"/>
          <w:sz w:val="26"/>
          <w:szCs w:val="26"/>
        </w:rPr>
        <w:t>ст скв</w:t>
      </w:r>
      <w:proofErr w:type="gramEnd"/>
      <w:r>
        <w:rPr>
          <w:rFonts w:ascii="Times New Roman" w:hAnsi="Times New Roman"/>
          <w:sz w:val="26"/>
          <w:szCs w:val="26"/>
        </w:rPr>
        <w:t>ажин №601. Корректировка» требуется 50289 кв. м, из них:</w:t>
      </w:r>
    </w:p>
    <w:p w:rsidR="00912A64" w:rsidRDefault="0067590C">
      <w:pPr>
        <w:numPr>
          <w:ilvl w:val="0"/>
          <w:numId w:val="23"/>
        </w:numPr>
        <w:ind w:left="-426" w:right="170"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50289 кв. м – долгосрочная аренда для строительства и эксплуатации линейного объекта;</w:t>
      </w:r>
    </w:p>
    <w:p w:rsidR="00912A64" w:rsidRDefault="0067590C">
      <w:pPr>
        <w:ind w:left="-426" w:right="170"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Часть используемых земель находится в аренде АО «РН-</w:t>
      </w:r>
      <w:proofErr w:type="spellStart"/>
      <w:r>
        <w:rPr>
          <w:rFonts w:ascii="Times New Roman" w:hAnsi="Times New Roman" w:cs="Times New Roman"/>
          <w:sz w:val="26"/>
          <w:szCs w:val="26"/>
        </w:rPr>
        <w:t>Няганьнефтегаз</w:t>
      </w:r>
      <w:proofErr w:type="spellEnd"/>
      <w:r>
        <w:rPr>
          <w:rFonts w:ascii="Times New Roman" w:hAnsi="Times New Roman" w:cs="Times New Roman"/>
          <w:sz w:val="26"/>
          <w:szCs w:val="26"/>
        </w:rPr>
        <w:t>».</w:t>
      </w:r>
    </w:p>
    <w:p w:rsidR="00912A64" w:rsidRDefault="0067590C">
      <w:pPr>
        <w:ind w:left="-426" w:right="170"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Проектом межевания территории предусмотрено строительство линейного объекта, что впоследствии предполагает постановку на учет в Единый государственный реестр недвижимости зон с особыми условиями использования территории в зависимости от характеристик сооружения, что позволяет использовать земли сельскохозяйственного назначения по их целевому назначению. Собственники и арендаторы земельных участков выразили свое согласие на размещения линейного объекта АО «РН-</w:t>
      </w:r>
      <w:proofErr w:type="spellStart"/>
      <w:r>
        <w:rPr>
          <w:rFonts w:ascii="Times New Roman" w:hAnsi="Times New Roman" w:cs="Times New Roman"/>
          <w:sz w:val="26"/>
          <w:szCs w:val="26"/>
        </w:rPr>
        <w:t>Няганьнефтегаз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». Процедура изъятия и резервирования земельных участков не предусмотрена. </w:t>
      </w:r>
    </w:p>
    <w:p w:rsidR="00912A64" w:rsidRDefault="00912A64">
      <w:pPr>
        <w:ind w:right="142"/>
        <w:jc w:val="both"/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</w:pPr>
    </w:p>
    <w:p w:rsidR="00912A64" w:rsidRDefault="00912A64">
      <w:pPr>
        <w:pStyle w:val="afff5"/>
        <w:rPr>
          <w:rFonts w:ascii="Times New Roman" w:hAnsi="Times New Roman"/>
          <w:sz w:val="26"/>
          <w:szCs w:val="26"/>
        </w:rPr>
      </w:pPr>
    </w:p>
    <w:p w:rsidR="00912A64" w:rsidRDefault="0067590C">
      <w:pPr>
        <w:pStyle w:val="afff3"/>
        <w:keepNext/>
        <w:numPr>
          <w:ilvl w:val="1"/>
          <w:numId w:val="36"/>
        </w:numPr>
        <w:overflowPunct w:val="0"/>
        <w:autoSpaceDE w:val="0"/>
        <w:autoSpaceDN w:val="0"/>
        <w:adjustRightInd w:val="0"/>
        <w:spacing w:after="240"/>
        <w:ind w:right="141" w:firstLine="65"/>
        <w:jc w:val="both"/>
        <w:textAlignment w:val="baseline"/>
        <w:outlineLvl w:val="1"/>
        <w:rPr>
          <w:rFonts w:ascii="Times New Roman" w:hAnsi="Times New Roman" w:cs="Times New Roman"/>
          <w:b/>
          <w:sz w:val="26"/>
          <w:szCs w:val="26"/>
        </w:rPr>
      </w:pPr>
      <w:bookmarkStart w:id="14" w:name="_Toc525300984"/>
      <w:bookmarkStart w:id="15" w:name="_Toc22559398"/>
      <w:r>
        <w:rPr>
          <w:rFonts w:ascii="Times New Roman" w:hAnsi="Times New Roman" w:cs="Times New Roman"/>
          <w:b/>
          <w:sz w:val="26"/>
          <w:szCs w:val="26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</w:t>
      </w:r>
      <w:bookmarkEnd w:id="14"/>
      <w:bookmarkEnd w:id="15"/>
    </w:p>
    <w:p w:rsidR="00912A64" w:rsidRDefault="0067590C">
      <w:pPr>
        <w:ind w:left="-426" w:right="142" w:firstLine="426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Образование территорий общего пользования, в отношении которых может быть проведена процедура резервирования и (или) изъятия для государственных нужд, не предусматривается.</w:t>
      </w:r>
    </w:p>
    <w:p w:rsidR="00912A64" w:rsidRDefault="00912A64">
      <w:pPr>
        <w:pStyle w:val="afff5"/>
        <w:ind w:left="0" w:firstLine="0"/>
        <w:rPr>
          <w:rFonts w:ascii="Times New Roman" w:hAnsi="Times New Roman"/>
          <w:sz w:val="26"/>
          <w:szCs w:val="26"/>
        </w:rPr>
      </w:pPr>
    </w:p>
    <w:p w:rsidR="00912A64" w:rsidRDefault="0067590C">
      <w:pPr>
        <w:pStyle w:val="afff3"/>
        <w:numPr>
          <w:ilvl w:val="1"/>
          <w:numId w:val="36"/>
        </w:numPr>
        <w:ind w:right="566" w:firstLine="65"/>
        <w:rPr>
          <w:rFonts w:ascii="Times New Roman" w:hAnsi="Times New Roman" w:cs="Times New Roman"/>
          <w:b/>
          <w:sz w:val="26"/>
          <w:szCs w:val="26"/>
        </w:rPr>
      </w:pPr>
      <w:bookmarkStart w:id="16" w:name="_Toc525300985"/>
      <w:bookmarkStart w:id="17" w:name="_Toc4581387"/>
      <w:r>
        <w:rPr>
          <w:rFonts w:ascii="Times New Roman" w:hAnsi="Times New Roman" w:cs="Times New Roman"/>
          <w:b/>
          <w:sz w:val="26"/>
          <w:szCs w:val="26"/>
        </w:rPr>
        <w:t>Вид разрешенного использования образуемых земельных участков в соответствии с проектом планировки территории</w:t>
      </w:r>
      <w:bookmarkEnd w:id="16"/>
      <w:bookmarkEnd w:id="17"/>
    </w:p>
    <w:p w:rsidR="00912A64" w:rsidRDefault="00912A64">
      <w:pPr>
        <w:pStyle w:val="afff5"/>
        <w:ind w:left="0" w:firstLine="0"/>
        <w:rPr>
          <w:rFonts w:ascii="Times New Roman" w:hAnsi="Times New Roman"/>
          <w:sz w:val="26"/>
          <w:szCs w:val="26"/>
        </w:rPr>
      </w:pPr>
    </w:p>
    <w:p w:rsidR="00912A64" w:rsidRDefault="0067590C">
      <w:pPr>
        <w:ind w:left="-426" w:right="170"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Виды разрешенного использования образуемых земельных участков в соответствии с проектом планировки территории представлены в таблице 9. </w:t>
      </w:r>
    </w:p>
    <w:p w:rsidR="00912A64" w:rsidRDefault="00912A64">
      <w:pPr>
        <w:ind w:left="-426" w:firstLine="426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-426" w:right="170"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Вид разрешенного использования образуемых земельных участков</w:t>
      </w:r>
    </w:p>
    <w:p w:rsidR="00912A64" w:rsidRDefault="0067590C">
      <w:pPr>
        <w:ind w:left="-426" w:right="170" w:firstLine="426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Таблица 9</w:t>
      </w:r>
    </w:p>
    <w:tbl>
      <w:tblPr>
        <w:tblStyle w:val="37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1134"/>
        <w:gridCol w:w="1701"/>
        <w:gridCol w:w="1984"/>
        <w:gridCol w:w="2126"/>
        <w:gridCol w:w="2411"/>
      </w:tblGrid>
      <w:tr w:rsidR="00912A64">
        <w:trPr>
          <w:trHeight w:val="20"/>
          <w:tblHeader/>
        </w:trPr>
        <w:tc>
          <w:tcPr>
            <w:tcW w:w="113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Условный номер на чертеже</w:t>
            </w:r>
          </w:p>
        </w:tc>
        <w:tc>
          <w:tcPr>
            <w:tcW w:w="170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Условный номер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образуемого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земельного участка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(части земельного участка)</w:t>
            </w:r>
          </w:p>
        </w:tc>
        <w:tc>
          <w:tcPr>
            <w:tcW w:w="198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Существующая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Категория / 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планируемая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категория</w:t>
            </w:r>
          </w:p>
        </w:tc>
        <w:tc>
          <w:tcPr>
            <w:tcW w:w="2126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Существующий вид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разрешенного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использования 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планируемый вид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разрешенного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использования</w:t>
            </w:r>
          </w:p>
        </w:tc>
        <w:tc>
          <w:tcPr>
            <w:tcW w:w="241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Существующий адрес / 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планируемый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адрес</w:t>
            </w:r>
          </w:p>
        </w:tc>
      </w:tr>
      <w:tr w:rsidR="00912A64">
        <w:trPr>
          <w:trHeight w:val="70"/>
          <w:tblHeader/>
        </w:trPr>
        <w:tc>
          <w:tcPr>
            <w:tcW w:w="113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70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98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2126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241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</w:tr>
      <w:tr w:rsidR="00912A64">
        <w:trPr>
          <w:trHeight w:val="20"/>
        </w:trPr>
        <w:tc>
          <w:tcPr>
            <w:tcW w:w="113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70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02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1001001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2004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 xml:space="preserve">: 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</w:p>
        </w:tc>
        <w:tc>
          <w:tcPr>
            <w:tcW w:w="198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лесного фонда / 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промышленности</w:t>
            </w:r>
          </w:p>
        </w:tc>
        <w:tc>
          <w:tcPr>
            <w:tcW w:w="2126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Лесные земли/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Осуществление геологического изучения недр, разведка и добыча полезных ископаемых</w:t>
            </w:r>
          </w:p>
        </w:tc>
        <w:tc>
          <w:tcPr>
            <w:tcW w:w="241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Ханты-Мансийский автономный округ – Югра, Ханты-Мансийский район,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Самаровское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лесничество, Хант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ы-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Мансийское участковое лесничество,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Нялинское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урочище, кварталы №№ 467, 468, целевое назначение лесов – защитные леса, кварталы №№ 468, 469, целевое назначение лесов – эксплуатационные леса/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Тюменская область, Ханты-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Манскийский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автономный округ – ЮГРА, Ханты-Мансийский район, межселенная территория, район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Каменное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зап.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</w:tc>
      </w:tr>
    </w:tbl>
    <w:p w:rsidR="00912A64" w:rsidRDefault="0067590C">
      <w:r>
        <w:br w:type="page"/>
      </w:r>
    </w:p>
    <w:tbl>
      <w:tblPr>
        <w:tblStyle w:val="37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1134"/>
        <w:gridCol w:w="1701"/>
        <w:gridCol w:w="1984"/>
        <w:gridCol w:w="2126"/>
        <w:gridCol w:w="2411"/>
      </w:tblGrid>
      <w:tr w:rsidR="00912A64">
        <w:trPr>
          <w:trHeight w:val="20"/>
        </w:trPr>
        <w:tc>
          <w:tcPr>
            <w:tcW w:w="1134" w:type="dxa"/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br w:type="page"/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1701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02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1001001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2004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 xml:space="preserve">: 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(2), ЗУ2(1)</w:t>
            </w:r>
          </w:p>
        </w:tc>
        <w:tc>
          <w:tcPr>
            <w:tcW w:w="198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лесного фонда / 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промышленности</w:t>
            </w:r>
          </w:p>
        </w:tc>
        <w:tc>
          <w:tcPr>
            <w:tcW w:w="2126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Лесные земли/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Осуществление геологического изучения недр, разведка и добыча полезных ископаемых</w:t>
            </w:r>
          </w:p>
        </w:tc>
        <w:tc>
          <w:tcPr>
            <w:tcW w:w="241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Ханты-Мансийский автономный округ – Югра, Ханты-Мансийский район,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Самаровское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лесничество, Хант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ы-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Мансийское участковое лесничество,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Нялинское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урочище, кварталы №№ 467, 468, целевое назначение лесов – защитные леса, кварталы №№ 468, 469, целевое назначение лесов – эксплуатационные леса/</w:t>
            </w:r>
          </w:p>
          <w:p w:rsidR="00912A64" w:rsidRDefault="0067590C" w:rsidP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Тюменская область, Ханты-Мансийский автономный округ – ЮГРА, Ханты-Мансийский район, межселенная территория, район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Каменное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зап.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</w:tc>
      </w:tr>
    </w:tbl>
    <w:p w:rsidR="00912A64" w:rsidRDefault="0067590C">
      <w:r>
        <w:br w:type="page"/>
      </w:r>
    </w:p>
    <w:tbl>
      <w:tblPr>
        <w:tblStyle w:val="37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1134"/>
        <w:gridCol w:w="1701"/>
        <w:gridCol w:w="1984"/>
        <w:gridCol w:w="2126"/>
        <w:gridCol w:w="2411"/>
      </w:tblGrid>
      <w:tr w:rsidR="00912A64">
        <w:trPr>
          <w:trHeight w:val="20"/>
        </w:trPr>
        <w:tc>
          <w:tcPr>
            <w:tcW w:w="1134" w:type="dxa"/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3</w:t>
            </w:r>
          </w:p>
        </w:tc>
        <w:tc>
          <w:tcPr>
            <w:tcW w:w="1701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:0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0000000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7839\ЧЗУ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</w:p>
        </w:tc>
        <w:tc>
          <w:tcPr>
            <w:tcW w:w="198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лесного фонда / 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промышленности</w:t>
            </w:r>
          </w:p>
        </w:tc>
        <w:tc>
          <w:tcPr>
            <w:tcW w:w="2126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Лесные земли/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Осуществление геологического изучения недр, разведка и добыча полезных ископаемых</w:t>
            </w:r>
          </w:p>
        </w:tc>
        <w:tc>
          <w:tcPr>
            <w:tcW w:w="241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Ханты-Мансийский автономный округ – Югра, Ханты-Мансийский район,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Самаровское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лесничество, Хант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ы-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Мансийское участковое лесничество,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Нялинское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урочище, кварталы №№ 467, 468, целевое назначение лесов – защитные леса, кварталы №№ 468, 469, целевое назначение лесов – эксплуатационные леса/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Тюменская область, Ханты-Мансийский автономный округ – ЮГРА, Ханты-Мансийский район, межселенная территория, район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Каменное</w:t>
            </w:r>
            <w:proofErr w:type="gramEnd"/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</w:rPr>
              <w:t>зап.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</w:tc>
      </w:tr>
      <w:tr w:rsidR="00912A64">
        <w:trPr>
          <w:trHeight w:val="20"/>
        </w:trPr>
        <w:tc>
          <w:tcPr>
            <w:tcW w:w="1134" w:type="dxa"/>
          </w:tcPr>
          <w:p w:rsidR="00912A64" w:rsidRDefault="0067590C">
            <w:pPr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701" w:type="dxa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86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en-US"/>
              </w:rPr>
              <w:t>:02:0902001: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ЗУ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  <w:proofErr w:type="gramEnd"/>
          </w:p>
        </w:tc>
        <w:tc>
          <w:tcPr>
            <w:tcW w:w="1984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запаса / земли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промышленности</w:t>
            </w:r>
          </w:p>
        </w:tc>
        <w:tc>
          <w:tcPr>
            <w:tcW w:w="2126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Земли запаса/</w:t>
            </w:r>
          </w:p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недропользование</w:t>
            </w:r>
          </w:p>
        </w:tc>
        <w:tc>
          <w:tcPr>
            <w:tcW w:w="2411" w:type="dxa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Ханты-Мансийский автономный округ – Югра, Ханты-Мансийский район</w:t>
            </w:r>
          </w:p>
        </w:tc>
      </w:tr>
    </w:tbl>
    <w:p w:rsidR="00912A64" w:rsidRDefault="00912A64">
      <w:pPr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pStyle w:val="afff5"/>
        <w:numPr>
          <w:ilvl w:val="1"/>
          <w:numId w:val="36"/>
        </w:numPr>
        <w:ind w:right="-1" w:firstLine="65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лесов</w:t>
      </w:r>
    </w:p>
    <w:p w:rsidR="00912A64" w:rsidRDefault="00912A64">
      <w:pPr>
        <w:pStyle w:val="afff5"/>
        <w:ind w:left="720" w:right="-1"/>
        <w:rPr>
          <w:rFonts w:ascii="Times New Roman" w:hAnsi="Times New Roman"/>
          <w:sz w:val="26"/>
          <w:szCs w:val="26"/>
        </w:rPr>
      </w:pPr>
    </w:p>
    <w:p w:rsidR="00912A64" w:rsidRDefault="0067590C">
      <w:pPr>
        <w:pStyle w:val="afff5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соответствии с приказом Департамента недропользования и природных ресурсов Ханты-Мансийского автономного округа – Югры № 13-нп от 02.03.2018 г (внесенного в государственный реестр нормативных правовых актов исполнительных органов государственной власти Ханты-Мансийского автономного округа – Югры за № 3789 от 07.03. 2018 года).</w:t>
      </w:r>
    </w:p>
    <w:p w:rsidR="00912A64" w:rsidRDefault="0067590C">
      <w:pPr>
        <w:pStyle w:val="afff5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lastRenderedPageBreak/>
        <w:t xml:space="preserve">На момент проектирования лесного участка на территории </w:t>
      </w:r>
      <w:proofErr w:type="spellStart"/>
      <w:r>
        <w:rPr>
          <w:rFonts w:ascii="Times New Roman" w:hAnsi="Times New Roman"/>
          <w:sz w:val="26"/>
          <w:szCs w:val="26"/>
        </w:rPr>
        <w:t>Самаровского</w:t>
      </w:r>
      <w:proofErr w:type="spellEnd"/>
      <w:r>
        <w:rPr>
          <w:rFonts w:ascii="Times New Roman" w:hAnsi="Times New Roman"/>
          <w:sz w:val="26"/>
          <w:szCs w:val="26"/>
        </w:rPr>
        <w:t xml:space="preserve"> лесничества распространяется действие лесохозяйственного регламента с изменениями и дополнениями, утвержденными Приказом Департамента недропользования и природных ресурсов Ханты-Мансийского автономного округа – Югры № 13-нп  от 02.03.2018 года.</w:t>
      </w:r>
    </w:p>
    <w:p w:rsidR="00912A64" w:rsidRDefault="0067590C">
      <w:pPr>
        <w:pStyle w:val="afff5"/>
        <w:rPr>
          <w:rFonts w:ascii="Times New Roman" w:hAnsi="Times New Roman"/>
          <w:sz w:val="26"/>
          <w:szCs w:val="26"/>
        </w:rPr>
      </w:pPr>
      <w:proofErr w:type="gramStart"/>
      <w:r>
        <w:rPr>
          <w:rFonts w:ascii="Times New Roman" w:hAnsi="Times New Roman"/>
          <w:sz w:val="26"/>
          <w:szCs w:val="26"/>
        </w:rPr>
        <w:t>Распределение лесов Лесничества по целевому назначению и категориям защитных лесов выполнено в соответствии с Лесным кодексом РФ, Федеральным законом от 4 декабря 2006 года № 201-ФЗ «О введении в действие Лесного кодекса Российской Федерации», приказом Рослесхоза от 27 апреля 2010 года № 164 «Об отнесении лесов на территории Ханты-Мансийского автономного округа – Югры к ценным лесам, эксплуатационным лесам и установлении их границ» (далее</w:t>
      </w:r>
      <w:proofErr w:type="gramEnd"/>
      <w:r>
        <w:rPr>
          <w:rFonts w:ascii="Times New Roman" w:hAnsi="Times New Roman"/>
          <w:sz w:val="26"/>
          <w:szCs w:val="26"/>
        </w:rPr>
        <w:t xml:space="preserve"> – </w:t>
      </w:r>
      <w:proofErr w:type="gramStart"/>
      <w:r>
        <w:rPr>
          <w:rFonts w:ascii="Times New Roman" w:hAnsi="Times New Roman"/>
          <w:sz w:val="26"/>
          <w:szCs w:val="26"/>
        </w:rPr>
        <w:t>Приказ Рослесхоза № 164).</w:t>
      </w:r>
      <w:proofErr w:type="gramEnd"/>
    </w:p>
    <w:p w:rsidR="00912A64" w:rsidRDefault="0067590C">
      <w:pPr>
        <w:pStyle w:val="afff5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Леса Лесничества по целевому назначению лесов представлены защитными и эксплуатационными лесами.</w:t>
      </w:r>
    </w:p>
    <w:p w:rsidR="00912A64" w:rsidRDefault="0067590C">
      <w:pPr>
        <w:pStyle w:val="afff5"/>
        <w:ind w:left="0" w:right="-1" w:firstLine="426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Согласно указанным документам лесного планирования, квартал 257 (выделы 9, 10, 11, 12, 31) </w:t>
      </w:r>
      <w:proofErr w:type="spellStart"/>
      <w:r>
        <w:rPr>
          <w:rFonts w:ascii="Times New Roman" w:hAnsi="Times New Roman"/>
          <w:sz w:val="26"/>
          <w:szCs w:val="26"/>
        </w:rPr>
        <w:t>Самаровского</w:t>
      </w:r>
      <w:proofErr w:type="spellEnd"/>
      <w:r>
        <w:rPr>
          <w:rFonts w:ascii="Times New Roman" w:hAnsi="Times New Roman"/>
          <w:sz w:val="26"/>
          <w:szCs w:val="26"/>
        </w:rPr>
        <w:t xml:space="preserve"> лесничества, Троицкого участкового лесничества в которых расположен проектируемый лесной участок, относятся к эксплуатационным лесам.</w:t>
      </w:r>
    </w:p>
    <w:p w:rsidR="00912A64" w:rsidRDefault="0067590C">
      <w:pPr>
        <w:pStyle w:val="afff5"/>
        <w:ind w:left="0" w:right="-1" w:firstLine="426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Основные характеристики лесного участка представлены в утвержденной проектной документации лесного участка №1652-19 </w:t>
      </w:r>
      <w:r w:rsidR="00967DF6">
        <w:rPr>
          <w:rFonts w:ascii="Times New Roman" w:hAnsi="Times New Roman"/>
          <w:sz w:val="26"/>
          <w:szCs w:val="26"/>
        </w:rPr>
        <w:t>(приложение А)</w:t>
      </w:r>
    </w:p>
    <w:p w:rsidR="00912A64" w:rsidRDefault="00912A64">
      <w:pPr>
        <w:pStyle w:val="afff5"/>
        <w:ind w:left="0" w:right="-1" w:firstLine="426"/>
        <w:jc w:val="right"/>
        <w:rPr>
          <w:rFonts w:ascii="Times New Roman" w:hAnsi="Times New Roman"/>
          <w:sz w:val="26"/>
          <w:szCs w:val="26"/>
        </w:rPr>
      </w:pPr>
    </w:p>
    <w:p w:rsidR="00912A64" w:rsidRDefault="00912A64">
      <w:pPr>
        <w:pStyle w:val="afff5"/>
        <w:ind w:left="0" w:right="-1" w:firstLine="426"/>
        <w:jc w:val="right"/>
        <w:rPr>
          <w:rFonts w:ascii="Times New Roman" w:hAnsi="Times New Roman"/>
          <w:sz w:val="26"/>
          <w:szCs w:val="26"/>
        </w:rPr>
      </w:pPr>
    </w:p>
    <w:p w:rsidR="00912A64" w:rsidRDefault="00912A64">
      <w:pPr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pStyle w:val="afff3"/>
        <w:numPr>
          <w:ilvl w:val="1"/>
          <w:numId w:val="36"/>
        </w:numPr>
        <w:ind w:right="566" w:firstLine="65"/>
        <w:rPr>
          <w:rStyle w:val="blk"/>
          <w:rFonts w:ascii="Times New Roman" w:hAnsi="Times New Roman" w:cs="Times New Roman"/>
          <w:b/>
          <w:sz w:val="26"/>
          <w:szCs w:val="26"/>
        </w:rPr>
      </w:pPr>
      <w:bookmarkStart w:id="18" w:name="_Toc525300987"/>
      <w:bookmarkStart w:id="19" w:name="_Toc4581389"/>
      <w:r>
        <w:rPr>
          <w:rStyle w:val="blk"/>
          <w:rFonts w:ascii="Times New Roman" w:hAnsi="Times New Roman" w:cs="Times New Roman"/>
          <w:b/>
          <w:sz w:val="26"/>
          <w:szCs w:val="26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18"/>
      <w:bookmarkEnd w:id="19"/>
    </w:p>
    <w:p w:rsidR="00912A64" w:rsidRDefault="00912A64">
      <w:pPr>
        <w:pStyle w:val="afff5"/>
        <w:ind w:left="0" w:firstLine="0"/>
        <w:rPr>
          <w:rFonts w:ascii="Times New Roman" w:hAnsi="Times New Roman"/>
          <w:sz w:val="26"/>
          <w:szCs w:val="26"/>
        </w:rPr>
      </w:pPr>
    </w:p>
    <w:p w:rsidR="00912A64" w:rsidRDefault="0067590C">
      <w:pPr>
        <w:ind w:right="142" w:firstLine="425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Площадь территории, в отношении которой утвержден проект межевания - 50289 кв. м Перечень координат характерных точек границы территории, в отношении которой утвержден проект межевания территории, представлен в таблице 10.</w:t>
      </w:r>
    </w:p>
    <w:p w:rsidR="00912A64" w:rsidRDefault="00912A64">
      <w:pPr>
        <w:ind w:left="-425" w:right="142" w:firstLine="425"/>
        <w:jc w:val="both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</w:p>
    <w:p w:rsidR="00912A64" w:rsidRDefault="0067590C">
      <w:pPr>
        <w:ind w:left="-425" w:right="142" w:firstLine="425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Территория, предназначенная для размещения линейных объектов</w:t>
      </w:r>
    </w:p>
    <w:p w:rsidR="00912A64" w:rsidRDefault="0067590C">
      <w:pPr>
        <w:ind w:left="-425" w:right="142" w:firstLine="425"/>
        <w:jc w:val="right"/>
        <w:rPr>
          <w:rFonts w:ascii="Times New Roman" w:hAnsi="Times New Roman" w:cs="Times New Roman"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kern w:val="28"/>
          <w:sz w:val="26"/>
          <w:szCs w:val="26"/>
          <w:lang w:eastAsia="en-US"/>
        </w:rPr>
        <w:t>Таблица 10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3260"/>
        <w:gridCol w:w="3686"/>
      </w:tblGrid>
      <w:tr w:rsidR="00912A64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Номер характерной точки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X</w:t>
            </w:r>
          </w:p>
        </w:tc>
        <w:tc>
          <w:tcPr>
            <w:tcW w:w="3686" w:type="dxa"/>
            <w:shd w:val="clear" w:color="auto" w:fill="auto"/>
            <w:vAlign w:val="center"/>
            <w:hideMark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Y</w:t>
            </w:r>
          </w:p>
        </w:tc>
      </w:tr>
      <w:tr w:rsidR="00912A64">
        <w:trPr>
          <w:trHeight w:val="20"/>
          <w:tblHeader/>
        </w:trPr>
        <w:tc>
          <w:tcPr>
            <w:tcW w:w="2410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975881.55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2531395.95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975880.97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2531387.53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975712.35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2531252.35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975629.25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2531183.85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5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975443.48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2531411.90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975689.40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2531612.65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7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975754.03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2531632.06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975795.14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2531641.89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975788.73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2531631.38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10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975774.67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2531625.54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>11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975761.65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2531614.69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975681.25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2531557.03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975621.42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2531530.46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14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975607.36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2531514.66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15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975608.90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2531500.28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16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975572.80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2531463.22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17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975572.54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2531447.30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18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975544.60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2531424.15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19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975629.74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2531319.66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20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975703.02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2531379.94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21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975737.54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2531338.14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22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975826.69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2531413.24</w:t>
            </w:r>
          </w:p>
        </w:tc>
      </w:tr>
      <w:tr w:rsidR="00912A64">
        <w:trPr>
          <w:trHeight w:val="20"/>
        </w:trPr>
        <w:tc>
          <w:tcPr>
            <w:tcW w:w="241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23</w:t>
            </w:r>
          </w:p>
        </w:tc>
        <w:tc>
          <w:tcPr>
            <w:tcW w:w="3260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975856.03</w:t>
            </w:r>
          </w:p>
        </w:tc>
        <w:tc>
          <w:tcPr>
            <w:tcW w:w="3686" w:type="dxa"/>
            <w:shd w:val="clear" w:color="auto" w:fill="auto"/>
            <w:vAlign w:val="bottom"/>
          </w:tcPr>
          <w:p w:rsidR="00912A64" w:rsidRDefault="0067590C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2531376.92</w:t>
            </w:r>
          </w:p>
        </w:tc>
      </w:tr>
    </w:tbl>
    <w:p w:rsidR="00912A64" w:rsidRDefault="00912A64">
      <w:pPr>
        <w:pStyle w:val="afff3"/>
        <w:tabs>
          <w:tab w:val="left" w:pos="851"/>
        </w:tabs>
        <w:ind w:left="567" w:right="566"/>
        <w:rPr>
          <w:rFonts w:ascii="Times New Roman" w:hAnsi="Times New Roman" w:cs="Times New Roman"/>
          <w:bCs/>
          <w:sz w:val="26"/>
          <w:szCs w:val="26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2A64" w:rsidRDefault="00912A64">
      <w:pPr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67590C">
      <w:pPr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Приложение</w:t>
      </w:r>
      <w:proofErr w:type="gramStart"/>
      <w:r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967DF6">
        <w:rPr>
          <w:rFonts w:ascii="Times New Roman" w:hAnsi="Times New Roman" w:cs="Times New Roman"/>
          <w:b/>
          <w:sz w:val="26"/>
          <w:szCs w:val="26"/>
        </w:rPr>
        <w:t>А</w:t>
      </w:r>
      <w:proofErr w:type="gramEnd"/>
    </w:p>
    <w:p w:rsidR="00912A64" w:rsidRDefault="0067590C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Проектная документация лесного участка №1652-19 от 22 октября 2019г</w:t>
      </w:r>
    </w:p>
    <w:p w:rsidR="00912A64" w:rsidRDefault="0067590C">
      <w:pPr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7710" cy="83724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1.jpg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663" cy="836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A64" w:rsidRDefault="0067590C">
      <w:pPr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20130" cy="86442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2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20130" cy="864425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3.jpg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20130" cy="86442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4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20130" cy="864425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5.jpg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20130" cy="864425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6.jpg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120130" cy="86442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7.jpg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C1631F1" wp14:editId="2A86D806">
            <wp:extent cx="6120130" cy="864425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от 22.10.2019_Страница_8.jpg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left="-425" w:right="142" w:firstLine="425"/>
        <w:jc w:val="center"/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</w:pPr>
      <w:r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  <w:t>ПРОЕКТ МЕЖЕВАНИ</w:t>
      </w:r>
      <w:bookmarkStart w:id="20" w:name="_GoBack"/>
      <w:bookmarkEnd w:id="20"/>
      <w:r>
        <w:rPr>
          <w:rFonts w:ascii="Times New Roman" w:hAnsi="Times New Roman" w:cs="Times New Roman"/>
          <w:b/>
          <w:kern w:val="28"/>
          <w:sz w:val="26"/>
          <w:szCs w:val="26"/>
          <w:lang w:eastAsia="en-US"/>
        </w:rPr>
        <w:t>Я ТЕРРИТОРИИ. ГРАФИЧЕСКАЯ ЧАСТЬ</w:t>
      </w: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912A64">
          <w:pgSz w:w="11907" w:h="16840" w:code="9"/>
          <w:pgMar w:top="1134" w:right="567" w:bottom="1134" w:left="1701" w:header="284" w:footer="556" w:gutter="0"/>
          <w:cols w:space="708"/>
          <w:titlePg/>
          <w:docGrid w:linePitch="360"/>
        </w:sectPr>
      </w:pPr>
    </w:p>
    <w:p w:rsidR="00912A64" w:rsidRDefault="00912A64">
      <w:pPr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12A64" w:rsidRDefault="0067590C">
      <w:pPr>
        <w:jc w:val="center"/>
        <w:rPr>
          <w:rFonts w:ascii="Times New Roman" w:hAnsi="Times New Roman" w:cs="Times New Roman"/>
          <w:sz w:val="26"/>
          <w:szCs w:val="26"/>
        </w:rPr>
        <w:sectPr w:rsidR="00912A64">
          <w:pgSz w:w="23814" w:h="16840" w:orient="landscape" w:code="8"/>
          <w:pgMar w:top="1701" w:right="1134" w:bottom="567" w:left="1134" w:header="284" w:footer="556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11991975" cy="848245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ртеж межевания территории.jpg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7738" cy="848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A64" w:rsidRDefault="00912A64" w:rsidP="00967DF6">
      <w:pPr>
        <w:jc w:val="both"/>
        <w:rPr>
          <w:rFonts w:ascii="Times New Roman" w:hAnsi="Times New Roman" w:cs="Times New Roman"/>
          <w:sz w:val="26"/>
          <w:szCs w:val="26"/>
        </w:rPr>
      </w:pPr>
    </w:p>
    <w:sectPr w:rsidR="00912A64">
      <w:pgSz w:w="11907" w:h="16840" w:code="9"/>
      <w:pgMar w:top="1134" w:right="567" w:bottom="1134" w:left="1701" w:header="284" w:footer="55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590C" w:rsidRDefault="0067590C">
      <w:r>
        <w:separator/>
      </w:r>
    </w:p>
  </w:endnote>
  <w:endnote w:type="continuationSeparator" w:id="0">
    <w:p w:rsidR="0067590C" w:rsidRDefault="006759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590C" w:rsidRDefault="0067590C">
    <w:pPr>
      <w:pStyle w:val="aa"/>
      <w:tabs>
        <w:tab w:val="clear" w:pos="4153"/>
        <w:tab w:val="clear" w:pos="8306"/>
      </w:tabs>
      <w:rPr>
        <w:rFonts w:ascii="Times New Roman" w:hAnsi="Times New Roman" w:cs="Times New Roman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590C" w:rsidRDefault="0067590C">
      <w:r>
        <w:separator/>
      </w:r>
    </w:p>
  </w:footnote>
  <w:footnote w:type="continuationSeparator" w:id="0">
    <w:p w:rsidR="0067590C" w:rsidRDefault="0067590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4932514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67590C" w:rsidRDefault="0067590C">
        <w:pPr>
          <w:pStyle w:val="a6"/>
          <w:tabs>
            <w:tab w:val="clear" w:pos="4153"/>
            <w:tab w:val="clear" w:pos="8306"/>
          </w:tabs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E1E0B">
          <w:rPr>
            <w:rFonts w:ascii="Times New Roman" w:hAnsi="Times New Roman" w:cs="Times New Roman"/>
            <w:noProof/>
            <w:sz w:val="24"/>
            <w:szCs w:val="24"/>
          </w:rPr>
          <w:t>30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D"/>
    <w:multiLevelType w:val="singleLevel"/>
    <w:tmpl w:val="E550B448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>
    <w:nsid w:val="02831615"/>
    <w:multiLevelType w:val="multilevel"/>
    <w:tmpl w:val="E3A4C490"/>
    <w:lvl w:ilvl="0">
      <w:start w:val="1"/>
      <w:numFmt w:val="decimal"/>
      <w:pStyle w:val="a"/>
      <w:lvlText w:val="%1."/>
      <w:lvlJc w:val="left"/>
      <w:pPr>
        <w:ind w:left="53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141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1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7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5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898" w:hanging="1800"/>
      </w:pPr>
      <w:rPr>
        <w:rFonts w:hint="default"/>
      </w:rPr>
    </w:lvl>
  </w:abstractNum>
  <w:abstractNum w:abstractNumId="2">
    <w:nsid w:val="1160490F"/>
    <w:multiLevelType w:val="hybridMultilevel"/>
    <w:tmpl w:val="E768FF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AC6B68"/>
    <w:multiLevelType w:val="hybridMultilevel"/>
    <w:tmpl w:val="9B9A01BC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4">
    <w:nsid w:val="173049AD"/>
    <w:multiLevelType w:val="multilevel"/>
    <w:tmpl w:val="C478A3B0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3"/>
      <w:numFmt w:val="decimal"/>
      <w:pStyle w:val="2"/>
      <w:lvlText w:val="%1.%2"/>
      <w:lvlJc w:val="left"/>
      <w:pPr>
        <w:tabs>
          <w:tab w:val="num" w:pos="3412"/>
        </w:tabs>
        <w:ind w:left="3412" w:hanging="576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lvlRestart w:val="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1E3D4D51"/>
    <w:multiLevelType w:val="hybridMultilevel"/>
    <w:tmpl w:val="D58CF2B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6">
    <w:nsid w:val="1E6F42D5"/>
    <w:multiLevelType w:val="hybridMultilevel"/>
    <w:tmpl w:val="702CCE2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7">
    <w:nsid w:val="20CA1910"/>
    <w:multiLevelType w:val="hybridMultilevel"/>
    <w:tmpl w:val="669629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6D7B2C"/>
    <w:multiLevelType w:val="multilevel"/>
    <w:tmpl w:val="3CEEF5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2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24" w:hanging="1800"/>
      </w:pPr>
      <w:rPr>
        <w:rFonts w:hint="default"/>
      </w:rPr>
    </w:lvl>
  </w:abstractNum>
  <w:abstractNum w:abstractNumId="9">
    <w:nsid w:val="248257BA"/>
    <w:multiLevelType w:val="hybridMultilevel"/>
    <w:tmpl w:val="7E2E43E6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0">
    <w:nsid w:val="28707F00"/>
    <w:multiLevelType w:val="hybridMultilevel"/>
    <w:tmpl w:val="759EB386"/>
    <w:lvl w:ilvl="0" w:tplc="638C8AEC">
      <w:start w:val="1"/>
      <w:numFmt w:val="bullet"/>
      <w:pStyle w:val="20"/>
      <w:lvlText w:val=""/>
      <w:lvlJc w:val="left"/>
      <w:pPr>
        <w:tabs>
          <w:tab w:val="num" w:pos="1644"/>
        </w:tabs>
        <w:ind w:left="1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4"/>
        </w:tabs>
        <w:ind w:left="2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4"/>
        </w:tabs>
        <w:ind w:left="3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4"/>
        </w:tabs>
        <w:ind w:left="3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4"/>
        </w:tabs>
        <w:ind w:left="4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4"/>
        </w:tabs>
        <w:ind w:left="5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4"/>
        </w:tabs>
        <w:ind w:left="5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4"/>
        </w:tabs>
        <w:ind w:left="6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4"/>
        </w:tabs>
        <w:ind w:left="7404" w:hanging="360"/>
      </w:pPr>
      <w:rPr>
        <w:rFonts w:ascii="Wingdings" w:hAnsi="Wingdings" w:hint="default"/>
      </w:rPr>
    </w:lvl>
  </w:abstractNum>
  <w:abstractNum w:abstractNumId="11">
    <w:nsid w:val="2BC275EA"/>
    <w:multiLevelType w:val="hybridMultilevel"/>
    <w:tmpl w:val="E768FF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134AEC"/>
    <w:multiLevelType w:val="hybridMultilevel"/>
    <w:tmpl w:val="D33A145C"/>
    <w:lvl w:ilvl="0" w:tplc="8D8EE9BE">
      <w:start w:val="1"/>
      <w:numFmt w:val="bullet"/>
      <w:pStyle w:val="a0"/>
      <w:lvlText w:val=""/>
      <w:lvlJc w:val="left"/>
      <w:pPr>
        <w:tabs>
          <w:tab w:val="num" w:pos="992"/>
        </w:tabs>
        <w:ind w:left="992" w:hanging="28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38664FD"/>
    <w:multiLevelType w:val="hybridMultilevel"/>
    <w:tmpl w:val="FD8ECA66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4">
    <w:nsid w:val="3AFA59B0"/>
    <w:multiLevelType w:val="hybridMultilevel"/>
    <w:tmpl w:val="08B44EB0"/>
    <w:lvl w:ilvl="0" w:tplc="4418A44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B9216E9"/>
    <w:multiLevelType w:val="hybridMultilevel"/>
    <w:tmpl w:val="1318F6B0"/>
    <w:lvl w:ilvl="0" w:tplc="0E6A5884">
      <w:start w:val="1"/>
      <w:numFmt w:val="bullet"/>
      <w:pStyle w:val="a1"/>
      <w:lvlText w:val=""/>
      <w:lvlJc w:val="left"/>
      <w:pPr>
        <w:tabs>
          <w:tab w:val="num" w:pos="1077"/>
        </w:tabs>
        <w:ind w:left="1077" w:hanging="226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0"/>
        </w:tabs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0"/>
        </w:tabs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0"/>
        </w:tabs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0"/>
        </w:tabs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0"/>
        </w:tabs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0"/>
        </w:tabs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0"/>
        </w:tabs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0"/>
        </w:tabs>
        <w:ind w:left="7330" w:hanging="360"/>
      </w:pPr>
      <w:rPr>
        <w:rFonts w:ascii="Wingdings" w:hAnsi="Wingdings" w:hint="default"/>
      </w:rPr>
    </w:lvl>
  </w:abstractNum>
  <w:abstractNum w:abstractNumId="16">
    <w:nsid w:val="499633D1"/>
    <w:multiLevelType w:val="hybridMultilevel"/>
    <w:tmpl w:val="38CE881E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17">
    <w:nsid w:val="55695DCF"/>
    <w:multiLevelType w:val="multilevel"/>
    <w:tmpl w:val="545013E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8">
    <w:nsid w:val="565F47D7"/>
    <w:multiLevelType w:val="multilevel"/>
    <w:tmpl w:val="892CFDFC"/>
    <w:lvl w:ilvl="0">
      <w:start w:val="1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00"/>
        </w:tabs>
        <w:ind w:left="600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Restart w:val="0"/>
      <w:pStyle w:val="4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>
    <w:nsid w:val="5A3205D6"/>
    <w:multiLevelType w:val="hybridMultilevel"/>
    <w:tmpl w:val="1494F7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483A83"/>
    <w:multiLevelType w:val="hybridMultilevel"/>
    <w:tmpl w:val="443AC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5E019D"/>
    <w:multiLevelType w:val="hybridMultilevel"/>
    <w:tmpl w:val="03E6FB9C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2">
    <w:nsid w:val="5C0753BA"/>
    <w:multiLevelType w:val="hybridMultilevel"/>
    <w:tmpl w:val="B192A67C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3">
    <w:nsid w:val="5D2172AA"/>
    <w:multiLevelType w:val="hybridMultilevel"/>
    <w:tmpl w:val="FF0AB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BC0D13"/>
    <w:multiLevelType w:val="hybridMultilevel"/>
    <w:tmpl w:val="9440026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5">
    <w:nsid w:val="64E2066E"/>
    <w:multiLevelType w:val="multilevel"/>
    <w:tmpl w:val="232CAF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26">
    <w:nsid w:val="672423DC"/>
    <w:multiLevelType w:val="multilevel"/>
    <w:tmpl w:val="DC44B13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7">
    <w:nsid w:val="67DC223E"/>
    <w:multiLevelType w:val="hybridMultilevel"/>
    <w:tmpl w:val="D44873F8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8">
    <w:nsid w:val="68891E1E"/>
    <w:multiLevelType w:val="multilevel"/>
    <w:tmpl w:val="232CAF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29">
    <w:nsid w:val="6B9F7B2C"/>
    <w:multiLevelType w:val="hybridMultilevel"/>
    <w:tmpl w:val="52748AB0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0">
    <w:nsid w:val="6C507CEE"/>
    <w:multiLevelType w:val="hybridMultilevel"/>
    <w:tmpl w:val="09E2A5E0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1">
    <w:nsid w:val="70553C5F"/>
    <w:multiLevelType w:val="hybridMultilevel"/>
    <w:tmpl w:val="90601746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2">
    <w:nsid w:val="75045CD2"/>
    <w:multiLevelType w:val="hybridMultilevel"/>
    <w:tmpl w:val="6C160B82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3">
    <w:nsid w:val="77A002B3"/>
    <w:multiLevelType w:val="hybridMultilevel"/>
    <w:tmpl w:val="59769A40"/>
    <w:lvl w:ilvl="0" w:tplc="4418A440">
      <w:start w:val="1"/>
      <w:numFmt w:val="bullet"/>
      <w:lvlText w:val="-"/>
      <w:lvlJc w:val="left"/>
      <w:pPr>
        <w:ind w:left="15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34">
    <w:nsid w:val="78551787"/>
    <w:multiLevelType w:val="hybridMultilevel"/>
    <w:tmpl w:val="DD22EEDA"/>
    <w:lvl w:ilvl="0" w:tplc="80060568">
      <w:start w:val="1"/>
      <w:numFmt w:val="upperRoman"/>
      <w:lvlText w:val="%1."/>
      <w:lvlJc w:val="left"/>
      <w:pPr>
        <w:ind w:left="4123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483" w:hanging="360"/>
      </w:pPr>
    </w:lvl>
    <w:lvl w:ilvl="2" w:tplc="0419001B" w:tentative="1">
      <w:start w:val="1"/>
      <w:numFmt w:val="lowerRoman"/>
      <w:lvlText w:val="%3."/>
      <w:lvlJc w:val="right"/>
      <w:pPr>
        <w:ind w:left="5203" w:hanging="180"/>
      </w:pPr>
    </w:lvl>
    <w:lvl w:ilvl="3" w:tplc="0419000F" w:tentative="1">
      <w:start w:val="1"/>
      <w:numFmt w:val="decimal"/>
      <w:lvlText w:val="%4."/>
      <w:lvlJc w:val="left"/>
      <w:pPr>
        <w:ind w:left="5923" w:hanging="360"/>
      </w:pPr>
    </w:lvl>
    <w:lvl w:ilvl="4" w:tplc="04190019" w:tentative="1">
      <w:start w:val="1"/>
      <w:numFmt w:val="lowerLetter"/>
      <w:lvlText w:val="%5."/>
      <w:lvlJc w:val="left"/>
      <w:pPr>
        <w:ind w:left="6643" w:hanging="360"/>
      </w:pPr>
    </w:lvl>
    <w:lvl w:ilvl="5" w:tplc="0419001B" w:tentative="1">
      <w:start w:val="1"/>
      <w:numFmt w:val="lowerRoman"/>
      <w:lvlText w:val="%6."/>
      <w:lvlJc w:val="right"/>
      <w:pPr>
        <w:ind w:left="7363" w:hanging="180"/>
      </w:pPr>
    </w:lvl>
    <w:lvl w:ilvl="6" w:tplc="0419000F" w:tentative="1">
      <w:start w:val="1"/>
      <w:numFmt w:val="decimal"/>
      <w:lvlText w:val="%7."/>
      <w:lvlJc w:val="left"/>
      <w:pPr>
        <w:ind w:left="8083" w:hanging="360"/>
      </w:pPr>
    </w:lvl>
    <w:lvl w:ilvl="7" w:tplc="04190019" w:tentative="1">
      <w:start w:val="1"/>
      <w:numFmt w:val="lowerLetter"/>
      <w:lvlText w:val="%8."/>
      <w:lvlJc w:val="left"/>
      <w:pPr>
        <w:ind w:left="8803" w:hanging="360"/>
      </w:pPr>
    </w:lvl>
    <w:lvl w:ilvl="8" w:tplc="0419001B" w:tentative="1">
      <w:start w:val="1"/>
      <w:numFmt w:val="lowerRoman"/>
      <w:lvlText w:val="%9."/>
      <w:lvlJc w:val="right"/>
      <w:pPr>
        <w:ind w:left="9523" w:hanging="180"/>
      </w:pPr>
    </w:lvl>
  </w:abstractNum>
  <w:abstractNum w:abstractNumId="35">
    <w:nsid w:val="7DB26D19"/>
    <w:multiLevelType w:val="hybridMultilevel"/>
    <w:tmpl w:val="FB36DFCC"/>
    <w:lvl w:ilvl="0" w:tplc="CA62A97E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num w:numId="1">
    <w:abstractNumId w:val="18"/>
  </w:num>
  <w:num w:numId="2">
    <w:abstractNumId w:val="15"/>
  </w:num>
  <w:num w:numId="3">
    <w:abstractNumId w:val="10"/>
  </w:num>
  <w:num w:numId="4">
    <w:abstractNumId w:val="4"/>
  </w:num>
  <w:num w:numId="5">
    <w:abstractNumId w:val="1"/>
  </w:num>
  <w:num w:numId="6">
    <w:abstractNumId w:val="0"/>
  </w:num>
  <w:num w:numId="7">
    <w:abstractNumId w:val="20"/>
  </w:num>
  <w:num w:numId="8">
    <w:abstractNumId w:val="34"/>
  </w:num>
  <w:num w:numId="9">
    <w:abstractNumId w:val="14"/>
  </w:num>
  <w:num w:numId="10">
    <w:abstractNumId w:val="16"/>
  </w:num>
  <w:num w:numId="11">
    <w:abstractNumId w:val="23"/>
  </w:num>
  <w:num w:numId="12">
    <w:abstractNumId w:val="9"/>
  </w:num>
  <w:num w:numId="13">
    <w:abstractNumId w:val="21"/>
  </w:num>
  <w:num w:numId="14">
    <w:abstractNumId w:val="31"/>
  </w:num>
  <w:num w:numId="15">
    <w:abstractNumId w:val="27"/>
  </w:num>
  <w:num w:numId="16">
    <w:abstractNumId w:val="24"/>
  </w:num>
  <w:num w:numId="17">
    <w:abstractNumId w:val="3"/>
  </w:num>
  <w:num w:numId="18">
    <w:abstractNumId w:val="22"/>
  </w:num>
  <w:num w:numId="19">
    <w:abstractNumId w:val="13"/>
  </w:num>
  <w:num w:numId="20">
    <w:abstractNumId w:val="5"/>
  </w:num>
  <w:num w:numId="21">
    <w:abstractNumId w:val="30"/>
  </w:num>
  <w:num w:numId="22">
    <w:abstractNumId w:val="33"/>
  </w:num>
  <w:num w:numId="23">
    <w:abstractNumId w:val="29"/>
  </w:num>
  <w:num w:numId="24">
    <w:abstractNumId w:val="6"/>
  </w:num>
  <w:num w:numId="25">
    <w:abstractNumId w:val="32"/>
  </w:num>
  <w:num w:numId="26">
    <w:abstractNumId w:val="2"/>
  </w:num>
  <w:num w:numId="27">
    <w:abstractNumId w:val="35"/>
  </w:num>
  <w:num w:numId="28">
    <w:abstractNumId w:val="11"/>
  </w:num>
  <w:num w:numId="29">
    <w:abstractNumId w:val="19"/>
  </w:num>
  <w:num w:numId="30">
    <w:abstractNumId w:val="7"/>
  </w:num>
  <w:num w:numId="31">
    <w:abstractNumId w:val="26"/>
  </w:num>
  <w:num w:numId="32">
    <w:abstractNumId w:val="28"/>
  </w:num>
  <w:num w:numId="33">
    <w:abstractNumId w:val="25"/>
  </w:num>
  <w:num w:numId="34">
    <w:abstractNumId w:val="12"/>
  </w:num>
  <w:num w:numId="35">
    <w:abstractNumId w:val="8"/>
  </w:num>
  <w:num w:numId="36">
    <w:abstractNumId w:val="17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680"/>
  <w:hyphenationZone w:val="357"/>
  <w:drawingGridHorizontalSpacing w:val="110"/>
  <w:drawingGridVerticalSpacing w:val="6"/>
  <w:displayHorizontalDrawingGridEvery w:val="2"/>
  <w:noPunctuationKerning/>
  <w:characterSpacingControl w:val="doNotCompress"/>
  <w:hdrShapeDefaults>
    <o:shapedefaults v:ext="edit" spidmax="1679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A64"/>
    <w:rsid w:val="0067590C"/>
    <w:rsid w:val="00912A64"/>
    <w:rsid w:val="00967DF6"/>
    <w:rsid w:val="00BD7CC3"/>
    <w:rsid w:val="00CE1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793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Pr>
      <w:rFonts w:ascii="Arial" w:hAnsi="Arial" w:cs="Arial"/>
      <w:sz w:val="22"/>
      <w:szCs w:val="22"/>
    </w:rPr>
  </w:style>
  <w:style w:type="paragraph" w:styleId="1">
    <w:name w:val="heading 1"/>
    <w:aliases w:val="1."/>
    <w:basedOn w:val="a2"/>
    <w:next w:val="a2"/>
    <w:link w:val="10"/>
    <w:qFormat/>
    <w:pPr>
      <w:keepNext/>
      <w:numPr>
        <w:numId w:val="4"/>
      </w:numPr>
      <w:overflowPunct w:val="0"/>
      <w:autoSpaceDE w:val="0"/>
      <w:autoSpaceDN w:val="0"/>
      <w:adjustRightInd w:val="0"/>
      <w:spacing w:after="240"/>
      <w:ind w:right="170"/>
      <w:textAlignment w:val="baseline"/>
      <w:outlineLvl w:val="0"/>
    </w:pPr>
    <w:rPr>
      <w:rFonts w:cs="Times New Roman"/>
      <w:b/>
      <w:caps/>
      <w:kern w:val="28"/>
      <w:szCs w:val="24"/>
    </w:rPr>
  </w:style>
  <w:style w:type="paragraph" w:styleId="2">
    <w:name w:val="heading 2"/>
    <w:basedOn w:val="a2"/>
    <w:next w:val="a2"/>
    <w:link w:val="21"/>
    <w:qFormat/>
    <w:pPr>
      <w:keepNext/>
      <w:numPr>
        <w:ilvl w:val="1"/>
        <w:numId w:val="4"/>
      </w:numPr>
      <w:overflowPunct w:val="0"/>
      <w:autoSpaceDE w:val="0"/>
      <w:autoSpaceDN w:val="0"/>
      <w:adjustRightInd w:val="0"/>
      <w:spacing w:after="240"/>
      <w:ind w:right="170"/>
      <w:jc w:val="both"/>
      <w:textAlignment w:val="baseline"/>
      <w:outlineLvl w:val="1"/>
    </w:pPr>
    <w:rPr>
      <w:rFonts w:cs="Times New Roman"/>
      <w:b/>
    </w:rPr>
  </w:style>
  <w:style w:type="paragraph" w:styleId="3">
    <w:name w:val="heading 3"/>
    <w:basedOn w:val="a2"/>
    <w:next w:val="a2"/>
    <w:link w:val="30"/>
    <w:qFormat/>
    <w:pPr>
      <w:keepNext/>
      <w:numPr>
        <w:ilvl w:val="2"/>
        <w:numId w:val="4"/>
      </w:numPr>
      <w:overflowPunct w:val="0"/>
      <w:autoSpaceDE w:val="0"/>
      <w:autoSpaceDN w:val="0"/>
      <w:adjustRightInd w:val="0"/>
      <w:ind w:right="170"/>
      <w:textAlignment w:val="baseline"/>
      <w:outlineLvl w:val="2"/>
    </w:pPr>
    <w:rPr>
      <w:rFonts w:cs="Times New Roman"/>
      <w:i/>
      <w:szCs w:val="20"/>
    </w:rPr>
  </w:style>
  <w:style w:type="paragraph" w:styleId="40">
    <w:name w:val="heading 4"/>
    <w:basedOn w:val="a2"/>
    <w:next w:val="a2"/>
    <w:qFormat/>
    <w:pPr>
      <w:keepNext/>
      <w:widowControl w:val="0"/>
      <w:numPr>
        <w:ilvl w:val="3"/>
        <w:numId w:val="1"/>
      </w:numPr>
      <w:spacing w:before="240" w:after="60"/>
      <w:outlineLvl w:val="3"/>
    </w:pPr>
    <w:rPr>
      <w:szCs w:val="20"/>
    </w:rPr>
  </w:style>
  <w:style w:type="paragraph" w:styleId="5">
    <w:name w:val="heading 5"/>
    <w:basedOn w:val="a2"/>
    <w:next w:val="a2"/>
    <w:qFormat/>
    <w:pPr>
      <w:widowControl w:val="0"/>
      <w:numPr>
        <w:ilvl w:val="4"/>
        <w:numId w:val="1"/>
      </w:numPr>
      <w:spacing w:before="240" w:after="60"/>
      <w:outlineLvl w:val="4"/>
    </w:pPr>
    <w:rPr>
      <w:i/>
      <w:szCs w:val="20"/>
    </w:rPr>
  </w:style>
  <w:style w:type="paragraph" w:styleId="6">
    <w:name w:val="heading 6"/>
    <w:basedOn w:val="a2"/>
    <w:next w:val="a2"/>
    <w:qFormat/>
    <w:pPr>
      <w:widowControl w:val="0"/>
      <w:numPr>
        <w:ilvl w:val="5"/>
        <w:numId w:val="1"/>
      </w:numPr>
      <w:spacing w:before="240" w:after="60"/>
      <w:outlineLvl w:val="5"/>
    </w:pPr>
    <w:rPr>
      <w:i/>
      <w:szCs w:val="20"/>
    </w:rPr>
  </w:style>
  <w:style w:type="paragraph" w:styleId="7">
    <w:name w:val="heading 7"/>
    <w:basedOn w:val="a2"/>
    <w:next w:val="a2"/>
    <w:qFormat/>
    <w:pPr>
      <w:widowControl w:val="0"/>
      <w:numPr>
        <w:ilvl w:val="6"/>
        <w:numId w:val="1"/>
      </w:numPr>
      <w:spacing w:before="240" w:after="60"/>
      <w:outlineLvl w:val="6"/>
    </w:pPr>
    <w:rPr>
      <w:szCs w:val="20"/>
    </w:rPr>
  </w:style>
  <w:style w:type="paragraph" w:styleId="8">
    <w:name w:val="heading 8"/>
    <w:basedOn w:val="a2"/>
    <w:next w:val="a2"/>
    <w:qFormat/>
    <w:pPr>
      <w:widowControl w:val="0"/>
      <w:numPr>
        <w:ilvl w:val="7"/>
        <w:numId w:val="1"/>
      </w:numPr>
      <w:spacing w:before="240" w:after="60"/>
      <w:outlineLvl w:val="7"/>
    </w:pPr>
    <w:rPr>
      <w:i/>
      <w:szCs w:val="20"/>
    </w:rPr>
  </w:style>
  <w:style w:type="paragraph" w:styleId="9">
    <w:name w:val="heading 9"/>
    <w:basedOn w:val="a2"/>
    <w:next w:val="a2"/>
    <w:qFormat/>
    <w:pPr>
      <w:widowControl w:val="0"/>
      <w:numPr>
        <w:ilvl w:val="8"/>
        <w:numId w:val="1"/>
      </w:numPr>
      <w:spacing w:before="240" w:after="60"/>
      <w:outlineLvl w:val="8"/>
    </w:pPr>
    <w:rPr>
      <w:b/>
      <w:i/>
      <w:sz w:val="18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aliases w:val="1. Знак"/>
    <w:link w:val="1"/>
    <w:locked/>
    <w:rPr>
      <w:rFonts w:ascii="Arial" w:hAnsi="Arial"/>
      <w:b/>
      <w:caps/>
      <w:kern w:val="28"/>
      <w:sz w:val="22"/>
      <w:szCs w:val="24"/>
    </w:rPr>
  </w:style>
  <w:style w:type="character" w:customStyle="1" w:styleId="21">
    <w:name w:val="Заголовок 2 Знак"/>
    <w:link w:val="2"/>
    <w:rPr>
      <w:rFonts w:ascii="Arial" w:hAnsi="Arial"/>
      <w:b/>
      <w:sz w:val="22"/>
      <w:szCs w:val="22"/>
    </w:rPr>
  </w:style>
  <w:style w:type="character" w:customStyle="1" w:styleId="30">
    <w:name w:val="Заголовок 3 Знак"/>
    <w:link w:val="3"/>
    <w:rPr>
      <w:rFonts w:ascii="Arial" w:hAnsi="Arial"/>
      <w:i/>
      <w:sz w:val="22"/>
    </w:rPr>
  </w:style>
  <w:style w:type="paragraph" w:styleId="a6">
    <w:name w:val="header"/>
    <w:basedOn w:val="a2"/>
    <w:link w:val="a7"/>
    <w:pPr>
      <w:widowControl w:val="0"/>
      <w:tabs>
        <w:tab w:val="center" w:pos="4153"/>
        <w:tab w:val="right" w:pos="8306"/>
      </w:tabs>
    </w:pPr>
    <w:rPr>
      <w:szCs w:val="20"/>
    </w:rPr>
  </w:style>
  <w:style w:type="character" w:styleId="a8">
    <w:name w:val="annotation reference"/>
    <w:semiHidden/>
    <w:rPr>
      <w:sz w:val="16"/>
    </w:rPr>
  </w:style>
  <w:style w:type="paragraph" w:styleId="a9">
    <w:name w:val="caption"/>
    <w:basedOn w:val="a2"/>
    <w:next w:val="a2"/>
    <w:qFormat/>
    <w:pPr>
      <w:widowControl w:val="0"/>
      <w:spacing w:before="120" w:after="120"/>
    </w:pPr>
    <w:rPr>
      <w:b/>
      <w:szCs w:val="20"/>
    </w:rPr>
  </w:style>
  <w:style w:type="paragraph" w:styleId="aa">
    <w:name w:val="footer"/>
    <w:basedOn w:val="a2"/>
    <w:link w:val="ab"/>
    <w:pPr>
      <w:widowControl w:val="0"/>
      <w:tabs>
        <w:tab w:val="center" w:pos="4153"/>
        <w:tab w:val="right" w:pos="8306"/>
      </w:tabs>
    </w:pPr>
    <w:rPr>
      <w:szCs w:val="20"/>
    </w:rPr>
  </w:style>
  <w:style w:type="paragraph" w:styleId="ac">
    <w:name w:val="Body Text Indent"/>
    <w:basedOn w:val="a2"/>
    <w:link w:val="ad"/>
    <w:pPr>
      <w:ind w:firstLine="708"/>
      <w:jc w:val="both"/>
    </w:pPr>
    <w:rPr>
      <w:rFonts w:cs="Times New Roman"/>
    </w:rPr>
  </w:style>
  <w:style w:type="character" w:customStyle="1" w:styleId="ad">
    <w:name w:val="Основной текст с отступом Знак"/>
    <w:link w:val="ac"/>
    <w:rPr>
      <w:rFonts w:ascii="Arial" w:hAnsi="Arial" w:cs="Arial"/>
      <w:sz w:val="22"/>
      <w:szCs w:val="22"/>
    </w:rPr>
  </w:style>
  <w:style w:type="character" w:styleId="ae">
    <w:name w:val="page number"/>
    <w:basedOn w:val="a3"/>
  </w:style>
  <w:style w:type="paragraph" w:styleId="22">
    <w:name w:val="Body Text Indent 2"/>
    <w:basedOn w:val="a2"/>
    <w:link w:val="23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Century" w:hAnsi="Century" w:cs="Times New Roman"/>
      <w:sz w:val="20"/>
      <w:szCs w:val="20"/>
    </w:rPr>
  </w:style>
  <w:style w:type="character" w:customStyle="1" w:styleId="23">
    <w:name w:val="Основной текст с отступом 2 Знак"/>
    <w:link w:val="22"/>
    <w:rPr>
      <w:rFonts w:ascii="Century" w:hAnsi="Century" w:cs="Arial"/>
    </w:rPr>
  </w:style>
  <w:style w:type="paragraph" w:customStyle="1" w:styleId="BodyText21">
    <w:name w:val="Body Text 21"/>
    <w:basedOn w:val="a2"/>
    <w:pPr>
      <w:keepNext/>
      <w:widowControl w:val="0"/>
      <w:overflowPunct w:val="0"/>
      <w:autoSpaceDE w:val="0"/>
      <w:autoSpaceDN w:val="0"/>
      <w:adjustRightInd w:val="0"/>
      <w:ind w:left="-142"/>
      <w:jc w:val="both"/>
      <w:textAlignment w:val="baseline"/>
    </w:pPr>
    <w:rPr>
      <w:szCs w:val="20"/>
    </w:rPr>
  </w:style>
  <w:style w:type="paragraph" w:styleId="af">
    <w:name w:val="Title"/>
    <w:aliases w:val="Название Знак1,Название Знак Знак"/>
    <w:basedOn w:val="a2"/>
    <w:link w:val="af0"/>
    <w:qFormat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8"/>
      <w:szCs w:val="20"/>
    </w:rPr>
  </w:style>
  <w:style w:type="character" w:customStyle="1" w:styleId="af0">
    <w:name w:val="Название Знак"/>
    <w:aliases w:val="Название Знак1 Знак,Название Знак Знак Знак"/>
    <w:link w:val="af"/>
    <w:locked/>
    <w:rPr>
      <w:rFonts w:ascii="Arial" w:hAnsi="Arial" w:cs="Arial"/>
      <w:b/>
      <w:sz w:val="28"/>
      <w:lang w:val="ru-RU" w:eastAsia="ru-RU" w:bidi="ar-SA"/>
    </w:rPr>
  </w:style>
  <w:style w:type="paragraph" w:styleId="af1">
    <w:name w:val="Subtitle"/>
    <w:basedOn w:val="a2"/>
    <w:qFormat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8"/>
      <w:szCs w:val="20"/>
    </w:rPr>
  </w:style>
  <w:style w:type="paragraph" w:styleId="11">
    <w:name w:val="toc 1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170"/>
      <w:textAlignment w:val="baseline"/>
    </w:pPr>
    <w:rPr>
      <w:szCs w:val="20"/>
    </w:rPr>
  </w:style>
  <w:style w:type="character" w:styleId="af2">
    <w:name w:val="Hyperlink"/>
    <w:uiPriority w:val="99"/>
    <w:rPr>
      <w:color w:val="0000FF"/>
      <w:u w:val="single"/>
    </w:rPr>
  </w:style>
  <w:style w:type="paragraph" w:styleId="12">
    <w:name w:val="index 1"/>
    <w:basedOn w:val="a2"/>
    <w:next w:val="a2"/>
    <w:autoRedefine/>
    <w:semiHidden/>
    <w:pPr>
      <w:ind w:left="240" w:hanging="240"/>
    </w:pPr>
  </w:style>
  <w:style w:type="paragraph" w:styleId="24">
    <w:name w:val="toc 2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340"/>
      <w:textAlignment w:val="baseline"/>
    </w:pPr>
    <w:rPr>
      <w:szCs w:val="20"/>
    </w:rPr>
  </w:style>
  <w:style w:type="paragraph" w:styleId="31">
    <w:name w:val="toc 3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567"/>
      <w:textAlignment w:val="baseline"/>
    </w:pPr>
    <w:rPr>
      <w:szCs w:val="20"/>
    </w:rPr>
  </w:style>
  <w:style w:type="paragraph" w:styleId="32">
    <w:name w:val="Body Text Indent 3"/>
    <w:basedOn w:val="a2"/>
    <w:link w:val="33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Times New Roman CYR" w:hAnsi="Times New Roman CYR" w:cs="Times New Roman"/>
      <w:szCs w:val="20"/>
    </w:rPr>
  </w:style>
  <w:style w:type="character" w:customStyle="1" w:styleId="33">
    <w:name w:val="Основной текст с отступом 3 Знак"/>
    <w:link w:val="32"/>
    <w:rPr>
      <w:rFonts w:ascii="Times New Roman CYR" w:hAnsi="Times New Roman CYR" w:cs="Arial"/>
      <w:sz w:val="22"/>
    </w:rPr>
  </w:style>
  <w:style w:type="paragraph" w:styleId="af3">
    <w:name w:val="Body Text"/>
    <w:basedOn w:val="a2"/>
    <w:pPr>
      <w:framePr w:hSpace="180" w:wrap="around" w:vAnchor="text" w:hAnchor="page" w:x="1630" w:y="646"/>
      <w:jc w:val="center"/>
    </w:pPr>
  </w:style>
  <w:style w:type="paragraph" w:styleId="41">
    <w:name w:val="toc 4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600"/>
      <w:textAlignment w:val="baseline"/>
    </w:pPr>
    <w:rPr>
      <w:szCs w:val="20"/>
    </w:rPr>
  </w:style>
  <w:style w:type="paragraph" w:styleId="50">
    <w:name w:val="toc 5"/>
    <w:basedOn w:val="a2"/>
    <w:next w:val="a2"/>
    <w:autoRedefine/>
    <w:semiHidden/>
    <w:pPr>
      <w:ind w:left="960"/>
    </w:pPr>
  </w:style>
  <w:style w:type="paragraph" w:styleId="60">
    <w:name w:val="toc 6"/>
    <w:basedOn w:val="a2"/>
    <w:next w:val="a2"/>
    <w:autoRedefine/>
    <w:semiHidden/>
    <w:pPr>
      <w:ind w:left="1200"/>
    </w:pPr>
  </w:style>
  <w:style w:type="paragraph" w:styleId="70">
    <w:name w:val="toc 7"/>
    <w:basedOn w:val="a2"/>
    <w:next w:val="a2"/>
    <w:autoRedefine/>
    <w:semiHidden/>
    <w:pPr>
      <w:ind w:left="1440"/>
    </w:pPr>
  </w:style>
  <w:style w:type="paragraph" w:styleId="80">
    <w:name w:val="toc 8"/>
    <w:basedOn w:val="a2"/>
    <w:next w:val="a2"/>
    <w:autoRedefine/>
    <w:semiHidden/>
    <w:pPr>
      <w:ind w:left="1680"/>
    </w:pPr>
  </w:style>
  <w:style w:type="paragraph" w:styleId="90">
    <w:name w:val="toc 9"/>
    <w:basedOn w:val="a2"/>
    <w:next w:val="a2"/>
    <w:autoRedefine/>
    <w:semiHidden/>
    <w:pPr>
      <w:ind w:left="1920"/>
    </w:pPr>
  </w:style>
  <w:style w:type="paragraph" w:styleId="25">
    <w:name w:val="Body Text 2"/>
    <w:basedOn w:val="a2"/>
    <w:link w:val="26"/>
    <w:pPr>
      <w:jc w:val="both"/>
    </w:pPr>
    <w:rPr>
      <w:rFonts w:cs="Times New Roman"/>
    </w:rPr>
  </w:style>
  <w:style w:type="character" w:customStyle="1" w:styleId="26">
    <w:name w:val="Основной текст 2 Знак"/>
    <w:link w:val="25"/>
    <w:rPr>
      <w:rFonts w:ascii="Arial" w:hAnsi="Arial" w:cs="Arial"/>
      <w:sz w:val="22"/>
      <w:szCs w:val="22"/>
    </w:rPr>
  </w:style>
  <w:style w:type="paragraph" w:styleId="34">
    <w:name w:val="Body Text 3"/>
    <w:basedOn w:val="a2"/>
    <w:rPr>
      <w:b/>
      <w:bCs/>
    </w:rPr>
  </w:style>
  <w:style w:type="paragraph" w:customStyle="1" w:styleId="af4">
    <w:name w:val="Чертежный"/>
    <w:pPr>
      <w:jc w:val="both"/>
    </w:pPr>
    <w:rPr>
      <w:rFonts w:ascii="ISOCPEUR" w:hAnsi="ISOCPEUR"/>
      <w:i/>
      <w:sz w:val="28"/>
      <w:lang w:val="uk-UA"/>
    </w:rPr>
  </w:style>
  <w:style w:type="paragraph" w:customStyle="1" w:styleId="35">
    <w:name w:val="заголовок 3"/>
    <w:basedOn w:val="a2"/>
    <w:next w:val="a2"/>
    <w:pPr>
      <w:keepNext/>
      <w:spacing w:before="60" w:after="60" w:line="360" w:lineRule="auto"/>
      <w:jc w:val="center"/>
    </w:pPr>
    <w:rPr>
      <w:szCs w:val="20"/>
    </w:rPr>
  </w:style>
  <w:style w:type="paragraph" w:styleId="af5">
    <w:name w:val="annotation text"/>
    <w:basedOn w:val="a2"/>
    <w:semiHidden/>
    <w:pPr>
      <w:widowControl w:val="0"/>
    </w:pPr>
    <w:rPr>
      <w:szCs w:val="20"/>
    </w:rPr>
  </w:style>
  <w:style w:type="table" w:styleId="af6">
    <w:name w:val="Table Grid"/>
    <w:basedOn w:val="a4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Стиль1"/>
    <w:basedOn w:val="11"/>
    <w:pPr>
      <w:tabs>
        <w:tab w:val="left" w:pos="480"/>
      </w:tabs>
    </w:pPr>
    <w:rPr>
      <w:noProof/>
    </w:rPr>
  </w:style>
  <w:style w:type="paragraph" w:customStyle="1" w:styleId="210">
    <w:name w:val="Стиль21"/>
    <w:basedOn w:val="11"/>
    <w:pPr>
      <w:tabs>
        <w:tab w:val="left" w:pos="400"/>
      </w:tabs>
    </w:pPr>
    <w:rPr>
      <w:noProof/>
    </w:rPr>
  </w:style>
  <w:style w:type="paragraph" w:styleId="af7">
    <w:name w:val="List Number"/>
    <w:basedOn w:val="a2"/>
    <w:pPr>
      <w:tabs>
        <w:tab w:val="num" w:pos="720"/>
      </w:tabs>
      <w:ind w:left="720" w:hanging="360"/>
    </w:pPr>
    <w:rPr>
      <w:sz w:val="20"/>
      <w:szCs w:val="20"/>
    </w:rPr>
  </w:style>
  <w:style w:type="paragraph" w:styleId="af8">
    <w:name w:val="Normal (Web)"/>
    <w:basedOn w:val="a2"/>
  </w:style>
  <w:style w:type="paragraph" w:styleId="af9">
    <w:name w:val="index heading"/>
    <w:basedOn w:val="a2"/>
    <w:next w:val="12"/>
    <w:semiHidden/>
    <w:pPr>
      <w:ind w:firstLine="709"/>
      <w:jc w:val="both"/>
    </w:pPr>
  </w:style>
  <w:style w:type="paragraph" w:customStyle="1" w:styleId="ConsNormal">
    <w:name w:val="ConsNormal"/>
    <w:uiPriority w:val="99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ConsPlusNormal">
    <w:name w:val="ConsPlusNormal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Heading">
    <w:name w:val="Heading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a">
    <w:name w:val="Document Map"/>
    <w:basedOn w:val="a2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14">
    <w:name w:val="Знак Знак1 Знак Знак Знак Знак Знак Знак Знак Знак Знак Знак"/>
    <w:basedOn w:val="a2"/>
    <w:rPr>
      <w:sz w:val="28"/>
      <w:szCs w:val="20"/>
    </w:rPr>
  </w:style>
  <w:style w:type="paragraph" w:customStyle="1" w:styleId="15">
    <w:name w:val="Об уп1"/>
    <w:basedOn w:val="a2"/>
    <w:pPr>
      <w:ind w:firstLine="720"/>
      <w:jc w:val="both"/>
    </w:pPr>
    <w:rPr>
      <w:spacing w:val="-2"/>
      <w:sz w:val="28"/>
      <w:szCs w:val="20"/>
    </w:rPr>
  </w:style>
  <w:style w:type="paragraph" w:customStyle="1" w:styleId="afb">
    <w:name w:val="Назв Ссылка"/>
    <w:basedOn w:val="a2"/>
    <w:next w:val="a2"/>
    <w:pPr>
      <w:keepNext/>
      <w:ind w:firstLine="720"/>
      <w:jc w:val="right"/>
    </w:pPr>
    <w:rPr>
      <w:sz w:val="28"/>
      <w:szCs w:val="20"/>
    </w:rPr>
  </w:style>
  <w:style w:type="paragraph" w:customStyle="1" w:styleId="110">
    <w:name w:val="Об таб лево11"/>
    <w:basedOn w:val="a2"/>
  </w:style>
  <w:style w:type="paragraph" w:customStyle="1" w:styleId="ConsTitle">
    <w:name w:val="ConsTitle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paragraph" w:customStyle="1" w:styleId="afc">
    <w:name w:val="Список источников"/>
    <w:basedOn w:val="afd"/>
    <w:next w:val="a2"/>
    <w:autoRedefine/>
    <w:pPr>
      <w:keepNext/>
      <w:pageBreakBefore w:val="0"/>
      <w:tabs>
        <w:tab w:val="right" w:pos="10206"/>
      </w:tabs>
      <w:autoSpaceDE/>
      <w:autoSpaceDN/>
      <w:spacing w:after="0"/>
      <w:ind w:left="0" w:firstLine="709"/>
      <w:jc w:val="left"/>
      <w:outlineLvl w:val="1"/>
    </w:pPr>
    <w:rPr>
      <w:bCs/>
      <w:caps w:val="0"/>
      <w:szCs w:val="20"/>
    </w:rPr>
  </w:style>
  <w:style w:type="paragraph" w:customStyle="1" w:styleId="afd">
    <w:name w:val="Заголовок"/>
    <w:basedOn w:val="a2"/>
    <w:next w:val="a2"/>
    <w:pPr>
      <w:keepLines/>
      <w:pageBreakBefore/>
      <w:suppressAutoHyphens/>
      <w:autoSpaceDE w:val="0"/>
      <w:autoSpaceDN w:val="0"/>
      <w:spacing w:after="560"/>
      <w:ind w:left="709"/>
      <w:jc w:val="both"/>
    </w:pPr>
    <w:rPr>
      <w:caps/>
      <w:sz w:val="28"/>
      <w:szCs w:val="28"/>
    </w:rPr>
  </w:style>
  <w:style w:type="paragraph" w:customStyle="1" w:styleId="16">
    <w:name w:val="Список 1"/>
    <w:basedOn w:val="a2"/>
    <w:pPr>
      <w:tabs>
        <w:tab w:val="num" w:pos="360"/>
      </w:tabs>
      <w:ind w:left="295" w:hanging="295"/>
      <w:jc w:val="both"/>
    </w:pPr>
    <w:rPr>
      <w:sz w:val="28"/>
    </w:rPr>
  </w:style>
  <w:style w:type="paragraph" w:customStyle="1" w:styleId="afe">
    <w:name w:val="Заголовок три"/>
    <w:basedOn w:val="3"/>
    <w:pPr>
      <w:keepLines/>
      <w:numPr>
        <w:ilvl w:val="0"/>
        <w:numId w:val="0"/>
      </w:numPr>
      <w:suppressAutoHyphens/>
      <w:overflowPunct/>
      <w:autoSpaceDE/>
      <w:autoSpaceDN/>
      <w:adjustRightInd/>
      <w:ind w:firstLine="720"/>
      <w:jc w:val="both"/>
      <w:textAlignment w:val="auto"/>
      <w:outlineLvl w:val="9"/>
    </w:pPr>
    <w:rPr>
      <w:szCs w:val="24"/>
    </w:rPr>
  </w:style>
  <w:style w:type="paragraph" w:styleId="27">
    <w:name w:val="List Bullet 2"/>
    <w:basedOn w:val="a2"/>
    <w:pPr>
      <w:ind w:left="566" w:hanging="283"/>
    </w:pPr>
    <w:rPr>
      <w:szCs w:val="20"/>
    </w:rPr>
  </w:style>
  <w:style w:type="paragraph" w:customStyle="1" w:styleId="51">
    <w:name w:val="Основной текст 5"/>
    <w:basedOn w:val="ac"/>
    <w:pPr>
      <w:spacing w:after="120"/>
      <w:ind w:left="283" w:firstLine="709"/>
      <w:jc w:val="left"/>
    </w:pPr>
    <w:rPr>
      <w:szCs w:val="20"/>
    </w:rPr>
  </w:style>
  <w:style w:type="paragraph" w:customStyle="1" w:styleId="42">
    <w:name w:val="Основной текст 4"/>
    <w:basedOn w:val="ac"/>
    <w:pPr>
      <w:spacing w:after="120"/>
      <w:ind w:left="283" w:firstLine="709"/>
      <w:jc w:val="left"/>
    </w:pPr>
    <w:rPr>
      <w:szCs w:val="20"/>
    </w:rPr>
  </w:style>
  <w:style w:type="paragraph" w:styleId="28">
    <w:name w:val="List 2"/>
    <w:basedOn w:val="a2"/>
    <w:pPr>
      <w:ind w:left="566" w:hanging="283"/>
    </w:pPr>
    <w:rPr>
      <w:szCs w:val="20"/>
    </w:rPr>
  </w:style>
  <w:style w:type="paragraph" w:styleId="29">
    <w:name w:val="List Continue 2"/>
    <w:basedOn w:val="a2"/>
    <w:pPr>
      <w:spacing w:after="120"/>
      <w:ind w:left="566" w:firstLine="709"/>
    </w:pPr>
    <w:rPr>
      <w:szCs w:val="20"/>
    </w:rPr>
  </w:style>
  <w:style w:type="paragraph" w:styleId="aff">
    <w:name w:val="List"/>
    <w:basedOn w:val="a2"/>
    <w:pPr>
      <w:ind w:left="283" w:hanging="283"/>
    </w:pPr>
    <w:rPr>
      <w:szCs w:val="20"/>
    </w:rPr>
  </w:style>
  <w:style w:type="paragraph" w:customStyle="1" w:styleId="Caaieiaie">
    <w:name w:val="Caaieiaie"/>
    <w:basedOn w:val="a2"/>
    <w:next w:val="a2"/>
    <w:pPr>
      <w:keepLines/>
      <w:pageBreakBefore/>
      <w:suppressAutoHyphens/>
      <w:spacing w:after="560"/>
      <w:ind w:left="709" w:firstLine="709"/>
      <w:jc w:val="both"/>
    </w:pPr>
    <w:rPr>
      <w:caps/>
      <w:sz w:val="28"/>
      <w:szCs w:val="20"/>
    </w:rPr>
  </w:style>
  <w:style w:type="paragraph" w:styleId="aff0">
    <w:name w:val="Plain Text"/>
    <w:basedOn w:val="a2"/>
    <w:pPr>
      <w:ind w:firstLine="720"/>
      <w:jc w:val="both"/>
    </w:pPr>
    <w:rPr>
      <w:szCs w:val="20"/>
    </w:rPr>
  </w:style>
  <w:style w:type="paragraph" w:customStyle="1" w:styleId="aff1">
    <w:name w:val="Таблицы"/>
    <w:basedOn w:val="a2"/>
    <w:pPr>
      <w:jc w:val="center"/>
    </w:pPr>
    <w:rPr>
      <w:szCs w:val="20"/>
    </w:rPr>
  </w:style>
  <w:style w:type="paragraph" w:customStyle="1" w:styleId="43">
    <w:name w:val="заголовок 4"/>
    <w:basedOn w:val="a2"/>
    <w:next w:val="a2"/>
    <w:pPr>
      <w:keepNext/>
      <w:widowControl w:val="0"/>
      <w:spacing w:line="312" w:lineRule="auto"/>
      <w:ind w:firstLine="720"/>
    </w:pPr>
    <w:rPr>
      <w:sz w:val="28"/>
      <w:szCs w:val="28"/>
    </w:rPr>
  </w:style>
  <w:style w:type="paragraph" w:styleId="aff2">
    <w:name w:val="List Continue"/>
    <w:basedOn w:val="a2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20"/>
      <w:szCs w:val="20"/>
    </w:rPr>
  </w:style>
  <w:style w:type="paragraph" w:customStyle="1" w:styleId="17">
    <w:name w:val="çàãîëîâîê 1"/>
    <w:basedOn w:val="a2"/>
    <w:next w:val="a2"/>
    <w:pPr>
      <w:keepNext/>
      <w:widowControl w:val="0"/>
      <w:spacing w:line="312" w:lineRule="auto"/>
      <w:jc w:val="center"/>
    </w:pPr>
    <w:rPr>
      <w:sz w:val="26"/>
      <w:szCs w:val="26"/>
    </w:rPr>
  </w:style>
  <w:style w:type="paragraph" w:customStyle="1" w:styleId="df2ef3">
    <w:name w:val="Îñíîâíîé òåêñò ñ îòñdf2óãefîì 3"/>
    <w:basedOn w:val="a2"/>
    <w:pPr>
      <w:widowControl w:val="0"/>
      <w:ind w:firstLine="720"/>
      <w:jc w:val="both"/>
    </w:pPr>
    <w:rPr>
      <w:b/>
      <w:bCs/>
    </w:rPr>
  </w:style>
  <w:style w:type="paragraph" w:styleId="aff3">
    <w:name w:val="annotation subject"/>
    <w:basedOn w:val="af5"/>
    <w:next w:val="af5"/>
    <w:semiHidden/>
    <w:pPr>
      <w:widowControl/>
      <w:ind w:firstLine="709"/>
      <w:jc w:val="both"/>
    </w:pPr>
    <w:rPr>
      <w:b/>
      <w:bCs/>
      <w:sz w:val="20"/>
    </w:rPr>
  </w:style>
  <w:style w:type="paragraph" w:styleId="aff4">
    <w:name w:val="Balloon Text"/>
    <w:basedOn w:val="a2"/>
    <w:semiHidden/>
    <w:pPr>
      <w:ind w:firstLine="709"/>
      <w:jc w:val="both"/>
    </w:pPr>
    <w:rPr>
      <w:rFonts w:ascii="Tahoma" w:hAnsi="Tahoma" w:cs="Tahoma"/>
      <w:sz w:val="16"/>
      <w:szCs w:val="16"/>
    </w:rPr>
  </w:style>
  <w:style w:type="paragraph" w:customStyle="1" w:styleId="Normal">
    <w:name w:val="[Normal]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aff5">
    <w:name w:val="табл_заголовок"/>
    <w:pPr>
      <w:keepNext/>
      <w:keepLines/>
      <w:jc w:val="center"/>
    </w:pPr>
    <w:rPr>
      <w:noProof/>
      <w:sz w:val="24"/>
    </w:rPr>
  </w:style>
  <w:style w:type="character" w:customStyle="1" w:styleId="aff6">
    <w:name w:val="номер страницы"/>
    <w:rPr>
      <w:rFonts w:cs="Times New Roman"/>
    </w:rPr>
  </w:style>
  <w:style w:type="paragraph" w:customStyle="1" w:styleId="-">
    <w:name w:val="УГТП-Текст"/>
    <w:basedOn w:val="a2"/>
    <w:link w:val="-1"/>
    <w:pPr>
      <w:ind w:left="284" w:right="284" w:firstLine="851"/>
      <w:jc w:val="both"/>
    </w:pPr>
    <w:rPr>
      <w:sz w:val="24"/>
      <w:szCs w:val="24"/>
    </w:rPr>
  </w:style>
  <w:style w:type="character" w:customStyle="1" w:styleId="-1">
    <w:name w:val="УГТП-Текст Знак1"/>
    <w:link w:val="-"/>
    <w:locked/>
    <w:rPr>
      <w:rFonts w:ascii="Arial" w:hAnsi="Arial" w:cs="Arial"/>
      <w:sz w:val="24"/>
      <w:szCs w:val="24"/>
      <w:lang w:val="ru-RU" w:eastAsia="ru-RU" w:bidi="ar-SA"/>
    </w:rPr>
  </w:style>
  <w:style w:type="paragraph" w:customStyle="1" w:styleId="aff7">
    <w:name w:val="Основной_ГСТРОЙ"/>
    <w:basedOn w:val="a2"/>
    <w:link w:val="aff8"/>
    <w:pPr>
      <w:spacing w:line="360" w:lineRule="auto"/>
      <w:ind w:firstLine="70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8">
    <w:name w:val="Основной_ГСТРОЙ Знак"/>
    <w:link w:val="aff7"/>
    <w:rPr>
      <w:sz w:val="24"/>
      <w:szCs w:val="24"/>
      <w:lang w:val="ru-RU" w:eastAsia="ru-RU" w:bidi="ar-SA"/>
    </w:rPr>
  </w:style>
  <w:style w:type="table" w:customStyle="1" w:styleId="18">
    <w:name w:val="Сетка таблицы1"/>
    <w:basedOn w:val="a4"/>
    <w:next w:val="af6"/>
    <w:pPr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2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customStyle="1" w:styleId="aff9">
    <w:name w:val="Знак"/>
    <w:basedOn w:val="a2"/>
    <w:rPr>
      <w:sz w:val="28"/>
      <w:szCs w:val="20"/>
    </w:rPr>
  </w:style>
  <w:style w:type="character" w:customStyle="1" w:styleId="affa">
    <w:name w:val="Обычный полужирный"/>
    <w:rPr>
      <w:b/>
      <w:bCs/>
    </w:rPr>
  </w:style>
  <w:style w:type="paragraph" w:customStyle="1" w:styleId="affb">
    <w:name w:val="Основной текст документа Знак"/>
    <w:basedOn w:val="a2"/>
    <w:link w:val="affc"/>
    <w:pPr>
      <w:widowControl w:val="0"/>
      <w:ind w:firstLine="720"/>
      <w:jc w:val="both"/>
    </w:pPr>
    <w:rPr>
      <w:rFonts w:ascii="Times New Roman" w:hAnsi="Times New Roman" w:cs="Times New Roman"/>
      <w:sz w:val="26"/>
      <w:szCs w:val="26"/>
      <w:lang w:eastAsia="en-US"/>
    </w:rPr>
  </w:style>
  <w:style w:type="character" w:customStyle="1" w:styleId="affc">
    <w:name w:val="Основной текст документа Знак Знак"/>
    <w:link w:val="affb"/>
    <w:locked/>
    <w:rPr>
      <w:sz w:val="26"/>
      <w:szCs w:val="26"/>
      <w:lang w:val="ru-RU" w:eastAsia="en-US" w:bidi="ar-SA"/>
    </w:rPr>
  </w:style>
  <w:style w:type="paragraph" w:customStyle="1" w:styleId="affd">
    <w:name w:val="Осн_Ошское"/>
    <w:basedOn w:val="ac"/>
    <w:link w:val="affe"/>
    <w:semiHidden/>
    <w:pPr>
      <w:spacing w:line="360" w:lineRule="auto"/>
      <w:ind w:firstLine="709"/>
    </w:pPr>
    <w:rPr>
      <w:rFonts w:ascii="Times New Roman" w:hAnsi="Times New Roman"/>
      <w:sz w:val="24"/>
      <w:szCs w:val="20"/>
    </w:rPr>
  </w:style>
  <w:style w:type="character" w:customStyle="1" w:styleId="affe">
    <w:name w:val="Осн_Ошское Знак"/>
    <w:link w:val="affd"/>
    <w:rPr>
      <w:sz w:val="24"/>
      <w:lang w:val="ru-RU" w:eastAsia="ru-RU" w:bidi="ar-SA"/>
    </w:rPr>
  </w:style>
  <w:style w:type="paragraph" w:customStyle="1" w:styleId="Normal16">
    <w:name w:val="Normal 1 + После:  6 пт"/>
    <w:basedOn w:val="a2"/>
    <w:pPr>
      <w:spacing w:before="120" w:after="120"/>
      <w:ind w:left="851"/>
      <w:jc w:val="both"/>
    </w:pPr>
    <w:rPr>
      <w:sz w:val="20"/>
      <w:szCs w:val="20"/>
    </w:rPr>
  </w:style>
  <w:style w:type="paragraph" w:customStyle="1" w:styleId="19">
    <w:name w:val="Обычный1"/>
    <w:pPr>
      <w:widowControl w:val="0"/>
      <w:spacing w:line="280" w:lineRule="auto"/>
      <w:ind w:firstLine="300"/>
      <w:jc w:val="both"/>
    </w:pPr>
    <w:rPr>
      <w:snapToGrid w:val="0"/>
    </w:rPr>
  </w:style>
  <w:style w:type="character" w:styleId="afff">
    <w:name w:val="Strong"/>
    <w:uiPriority w:val="22"/>
    <w:qFormat/>
    <w:rPr>
      <w:rFonts w:cs="Times New Roman"/>
      <w:b/>
      <w:bCs/>
    </w:rPr>
  </w:style>
  <w:style w:type="paragraph" w:customStyle="1" w:styleId="-0">
    <w:name w:val="-Текст"/>
    <w:basedOn w:val="a2"/>
    <w:pPr>
      <w:ind w:left="284" w:right="284" w:firstLine="851"/>
      <w:jc w:val="both"/>
    </w:pPr>
  </w:style>
  <w:style w:type="paragraph" w:customStyle="1" w:styleId="1a">
    <w:name w:val="Обычный 1"/>
    <w:basedOn w:val="a2"/>
    <w:pPr>
      <w:keepNext/>
      <w:widowControl w:val="0"/>
      <w:overflowPunct w:val="0"/>
      <w:autoSpaceDE w:val="0"/>
      <w:autoSpaceDN w:val="0"/>
      <w:adjustRightInd w:val="0"/>
      <w:ind w:left="170" w:right="170" w:firstLine="680"/>
      <w:jc w:val="both"/>
    </w:pPr>
  </w:style>
  <w:style w:type="paragraph" w:customStyle="1" w:styleId="111">
    <w:name w:val="Заголовок 1.1"/>
    <w:basedOn w:val="1"/>
    <w:next w:val="afff0"/>
    <w:pPr>
      <w:widowControl w:val="0"/>
      <w:numPr>
        <w:numId w:val="0"/>
      </w:numPr>
      <w:overflowPunct/>
      <w:autoSpaceDE/>
      <w:autoSpaceDN/>
      <w:adjustRightInd/>
      <w:spacing w:after="0"/>
      <w:ind w:left="170" w:firstLine="680"/>
      <w:jc w:val="both"/>
      <w:textAlignment w:val="auto"/>
    </w:pPr>
    <w:rPr>
      <w:kern w:val="0"/>
      <w:szCs w:val="22"/>
      <w:lang w:val="en-US"/>
    </w:rPr>
  </w:style>
  <w:style w:type="paragraph" w:styleId="afff0">
    <w:name w:val="Normal Indent"/>
    <w:aliases w:val="Обычный отступ Знак Знак,Обычный отступ Знак,Обычный отступ Знак Знак Знак Знак,Обычный отступ Знак Знак Знак Знак Знак Знак"/>
    <w:basedOn w:val="a2"/>
    <w:link w:val="1b"/>
    <w:pPr>
      <w:ind w:left="708"/>
    </w:pPr>
  </w:style>
  <w:style w:type="paragraph" w:customStyle="1" w:styleId="1c">
    <w:name w:val="1 Знак Знак Знак Знак"/>
    <w:basedOn w:val="a2"/>
    <w:rPr>
      <w:rFonts w:ascii="Times New Roman" w:hAnsi="Times New Roman" w:cs="Times New Roman"/>
      <w:sz w:val="28"/>
      <w:szCs w:val="20"/>
    </w:rPr>
  </w:style>
  <w:style w:type="paragraph" w:customStyle="1" w:styleId="afff1">
    <w:name w:val="Назв после табл"/>
    <w:basedOn w:val="a2"/>
    <w:next w:val="a2"/>
    <w:pPr>
      <w:spacing w:before="120"/>
      <w:ind w:firstLine="720"/>
      <w:jc w:val="both"/>
    </w:pPr>
    <w:rPr>
      <w:rFonts w:ascii="Times New Roman" w:hAnsi="Times New Roman" w:cs="Times New Roman"/>
      <w:sz w:val="28"/>
      <w:szCs w:val="20"/>
    </w:rPr>
  </w:style>
  <w:style w:type="paragraph" w:customStyle="1" w:styleId="afff2">
    <w:name w:val="Абзац"/>
    <w:basedOn w:val="a2"/>
    <w:pPr>
      <w:ind w:left="284" w:right="170" w:firstLine="567"/>
      <w:jc w:val="both"/>
    </w:pPr>
  </w:style>
  <w:style w:type="paragraph" w:customStyle="1" w:styleId="a1">
    <w:name w:val="Абзац_маркиров"/>
    <w:basedOn w:val="afff2"/>
    <w:pPr>
      <w:numPr>
        <w:numId w:val="2"/>
      </w:numPr>
    </w:pPr>
  </w:style>
  <w:style w:type="paragraph" w:customStyle="1" w:styleId="20">
    <w:name w:val="Абзац маркированный 2"/>
    <w:basedOn w:val="a2"/>
    <w:pPr>
      <w:numPr>
        <w:numId w:val="3"/>
      </w:numPr>
    </w:pPr>
    <w:rPr>
      <w:rFonts w:ascii="Times New Roman" w:hAnsi="Times New Roman" w:cs="Times New Roman"/>
      <w:sz w:val="24"/>
      <w:szCs w:val="24"/>
    </w:rPr>
  </w:style>
  <w:style w:type="paragraph" w:styleId="afff3">
    <w:name w:val="List Paragraph"/>
    <w:basedOn w:val="a2"/>
    <w:uiPriority w:val="34"/>
    <w:qFormat/>
    <w:pPr>
      <w:ind w:left="720"/>
      <w:contextualSpacing/>
    </w:pPr>
  </w:style>
  <w:style w:type="paragraph" w:styleId="afff4">
    <w:name w:val="TOC Heading"/>
    <w:basedOn w:val="1"/>
    <w:next w:val="a2"/>
    <w:uiPriority w:val="39"/>
    <w:semiHidden/>
    <w:unhideWhenUsed/>
    <w:qFormat/>
    <w:pPr>
      <w:keepLines/>
      <w:numPr>
        <w:numId w:val="0"/>
      </w:numPr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="Cambria" w:hAnsi="Cambria"/>
      <w:bCs/>
      <w:color w:val="365F91"/>
      <w:kern w:val="0"/>
      <w:sz w:val="28"/>
      <w:szCs w:val="28"/>
      <w:lang w:eastAsia="en-US"/>
    </w:rPr>
  </w:style>
  <w:style w:type="paragraph" w:customStyle="1" w:styleId="afff5">
    <w:name w:val="Стиль текста"/>
    <w:basedOn w:val="a2"/>
    <w:link w:val="afff6"/>
    <w:qFormat/>
    <w:pPr>
      <w:ind w:left="170" w:right="170" w:firstLine="680"/>
      <w:jc w:val="both"/>
    </w:pPr>
    <w:rPr>
      <w:rFonts w:cs="Times New Roman"/>
    </w:rPr>
  </w:style>
  <w:style w:type="character" w:customStyle="1" w:styleId="afff6">
    <w:name w:val="Стиль текста Знак"/>
    <w:link w:val="afff5"/>
    <w:rPr>
      <w:rFonts w:ascii="Arial" w:hAnsi="Arial" w:cs="Arial"/>
      <w:sz w:val="22"/>
      <w:szCs w:val="22"/>
    </w:rPr>
  </w:style>
  <w:style w:type="paragraph" w:customStyle="1" w:styleId="afff7">
    <w:name w:val="Стиль текст"/>
    <w:basedOn w:val="a2"/>
    <w:link w:val="afff8"/>
    <w:qFormat/>
    <w:pPr>
      <w:ind w:left="170" w:right="170" w:firstLine="680"/>
      <w:jc w:val="both"/>
    </w:pPr>
    <w:rPr>
      <w:rFonts w:cs="Times New Roman"/>
    </w:rPr>
  </w:style>
  <w:style w:type="character" w:customStyle="1" w:styleId="afff8">
    <w:name w:val="Стиль текст Знак"/>
    <w:aliases w:val="Без интервала Знак"/>
    <w:link w:val="afff7"/>
    <w:rPr>
      <w:rFonts w:ascii="Arial" w:hAnsi="Arial" w:cs="Arial"/>
      <w:sz w:val="22"/>
      <w:szCs w:val="22"/>
    </w:rPr>
  </w:style>
  <w:style w:type="paragraph" w:styleId="afff9">
    <w:name w:val="No Spacing"/>
    <w:basedOn w:val="a2"/>
    <w:uiPriority w:val="1"/>
    <w:qFormat/>
    <w:pPr>
      <w:tabs>
        <w:tab w:val="left" w:pos="480"/>
        <w:tab w:val="right" w:leader="dot" w:pos="9922"/>
      </w:tabs>
      <w:overflowPunct w:val="0"/>
      <w:autoSpaceDE w:val="0"/>
      <w:autoSpaceDN w:val="0"/>
      <w:adjustRightInd w:val="0"/>
      <w:jc w:val="center"/>
      <w:textAlignment w:val="baseline"/>
    </w:pPr>
    <w:rPr>
      <w:iCs/>
      <w:noProof/>
    </w:rPr>
  </w:style>
  <w:style w:type="paragraph" w:customStyle="1" w:styleId="2a">
    <w:name w:val="Стиль2"/>
    <w:basedOn w:val="a2"/>
    <w:link w:val="2b"/>
    <w:qFormat/>
    <w:pPr>
      <w:spacing w:line="288" w:lineRule="auto"/>
      <w:ind w:left="170" w:right="170" w:firstLine="680"/>
      <w:jc w:val="both"/>
    </w:pPr>
    <w:rPr>
      <w:rFonts w:cs="Times New Roman"/>
      <w:szCs w:val="24"/>
    </w:rPr>
  </w:style>
  <w:style w:type="character" w:customStyle="1" w:styleId="2b">
    <w:name w:val="Стиль2 Знак"/>
    <w:link w:val="2a"/>
    <w:rPr>
      <w:rFonts w:ascii="Arial" w:hAnsi="Arial"/>
      <w:sz w:val="22"/>
      <w:szCs w:val="24"/>
    </w:rPr>
  </w:style>
  <w:style w:type="character" w:styleId="afffa">
    <w:name w:val="Emphasis"/>
    <w:qFormat/>
    <w:rPr>
      <w:rFonts w:ascii="Arial" w:hAnsi="Arial" w:cs="Arial" w:hint="default"/>
      <w:i w:val="0"/>
      <w:iCs w:val="0"/>
      <w:strike w:val="0"/>
      <w:dstrike w:val="0"/>
      <w:sz w:val="24"/>
      <w:u w:val="none"/>
      <w:effect w:val="none"/>
      <w:vertAlign w:val="baseline"/>
    </w:rPr>
  </w:style>
  <w:style w:type="paragraph" w:customStyle="1" w:styleId="afffb">
    <w:name w:val="без интервала"/>
    <w:basedOn w:val="2a"/>
    <w:link w:val="afffc"/>
    <w:qFormat/>
    <w:pPr>
      <w:spacing w:line="240" w:lineRule="auto"/>
      <w:ind w:left="0" w:right="0" w:firstLine="0"/>
      <w:jc w:val="center"/>
    </w:pPr>
    <w:rPr>
      <w:szCs w:val="22"/>
    </w:rPr>
  </w:style>
  <w:style w:type="character" w:customStyle="1" w:styleId="afffc">
    <w:name w:val="без интервала Знак"/>
    <w:link w:val="afffb"/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a3"/>
  </w:style>
  <w:style w:type="character" w:customStyle="1" w:styleId="match">
    <w:name w:val="match"/>
    <w:basedOn w:val="a3"/>
  </w:style>
  <w:style w:type="character" w:customStyle="1" w:styleId="36">
    <w:name w:val="Основной текст (3)"/>
    <w:rPr>
      <w:rFonts w:ascii="Times New Roman" w:hAnsi="Times New Roman" w:cs="Times New Roman"/>
      <w:spacing w:val="0"/>
      <w:sz w:val="15"/>
      <w:szCs w:val="15"/>
    </w:rPr>
  </w:style>
  <w:style w:type="character" w:customStyle="1" w:styleId="322">
    <w:name w:val="Основной текст (3)22"/>
    <w:rPr>
      <w:rFonts w:ascii="Times New Roman" w:hAnsi="Times New Roman" w:cs="Times New Roman"/>
      <w:noProof/>
      <w:spacing w:val="0"/>
      <w:sz w:val="15"/>
      <w:szCs w:val="15"/>
    </w:rPr>
  </w:style>
  <w:style w:type="paragraph" w:customStyle="1" w:styleId="Noeeu1">
    <w:name w:val="Noeeu1"/>
    <w:basedOn w:val="a2"/>
    <w:pPr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xl33">
    <w:name w:val="xl33"/>
    <w:basedOn w:val="a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eastAsia="Arial Unicode MS" w:hAnsi="Times New Roman CYR" w:cs="Times New Roman CYR"/>
      <w:sz w:val="24"/>
      <w:szCs w:val="24"/>
    </w:rPr>
  </w:style>
  <w:style w:type="paragraph" w:customStyle="1" w:styleId="120">
    <w:name w:val="Об таб центр12"/>
    <w:basedOn w:val="a2"/>
    <w:pPr>
      <w:jc w:val="center"/>
    </w:pPr>
    <w:rPr>
      <w:rFonts w:ascii="Times New Roman" w:hAnsi="Times New Roman" w:cs="Times New Roman"/>
      <w:snapToGrid w:val="0"/>
      <w:sz w:val="24"/>
      <w:szCs w:val="20"/>
    </w:rPr>
  </w:style>
  <w:style w:type="paragraph" w:customStyle="1" w:styleId="ConsPlusNonformat">
    <w:name w:val="ConsPlusNonformat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">
    <w:name w:val="Стиль список"/>
    <w:basedOn w:val="a2"/>
    <w:link w:val="afffd"/>
    <w:qFormat/>
    <w:pPr>
      <w:numPr>
        <w:numId w:val="5"/>
      </w:numPr>
      <w:tabs>
        <w:tab w:val="left" w:pos="1134"/>
      </w:tabs>
      <w:ind w:right="170"/>
      <w:jc w:val="both"/>
    </w:pPr>
  </w:style>
  <w:style w:type="character" w:customStyle="1" w:styleId="afffd">
    <w:name w:val="Стиль список Знак"/>
    <w:basedOn w:val="a3"/>
    <w:link w:val="a"/>
    <w:rPr>
      <w:rFonts w:ascii="Arial" w:hAnsi="Arial" w:cs="Arial"/>
      <w:sz w:val="22"/>
      <w:szCs w:val="22"/>
    </w:rPr>
  </w:style>
  <w:style w:type="paragraph" w:styleId="4">
    <w:name w:val="List Number 4"/>
    <w:basedOn w:val="a2"/>
    <w:pPr>
      <w:numPr>
        <w:numId w:val="6"/>
      </w:numPr>
      <w:contextualSpacing/>
    </w:pPr>
    <w:rPr>
      <w:rFonts w:ascii="Times New Roman" w:hAnsi="Times New Roman" w:cs="Times New Roman"/>
      <w:sz w:val="24"/>
      <w:szCs w:val="24"/>
    </w:rPr>
  </w:style>
  <w:style w:type="character" w:styleId="afffe">
    <w:name w:val="FollowedHyperlink"/>
    <w:basedOn w:val="a3"/>
    <w:uiPriority w:val="99"/>
    <w:rPr>
      <w:color w:val="800080" w:themeColor="followedHyperlink"/>
      <w:u w:val="single"/>
    </w:rPr>
  </w:style>
  <w:style w:type="paragraph" w:customStyle="1" w:styleId="211">
    <w:name w:val="Основной текст с отступом 21"/>
    <w:basedOn w:val="a2"/>
    <w:pPr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affff">
    <w:name w:val="Intense Emphasis"/>
    <w:basedOn w:val="a3"/>
    <w:uiPriority w:val="21"/>
    <w:qFormat/>
    <w:rPr>
      <w:b/>
      <w:bCs/>
      <w:i/>
      <w:iCs/>
      <w:color w:val="4F81BD" w:themeColor="accent1"/>
    </w:rPr>
  </w:style>
  <w:style w:type="character" w:customStyle="1" w:styleId="HTML0">
    <w:name w:val="Стандартный HTML Знак"/>
    <w:basedOn w:val="a3"/>
    <w:link w:val="HTML"/>
    <w:rPr>
      <w:rFonts w:ascii="Courier New" w:hAnsi="Courier New" w:cs="Courier New"/>
    </w:rPr>
  </w:style>
  <w:style w:type="character" w:customStyle="1" w:styleId="ab">
    <w:name w:val="Нижний колонтитул Знак"/>
    <w:basedOn w:val="a3"/>
    <w:link w:val="aa"/>
    <w:rPr>
      <w:rFonts w:ascii="Arial" w:hAnsi="Arial" w:cs="Arial"/>
      <w:sz w:val="22"/>
    </w:rPr>
  </w:style>
  <w:style w:type="character" w:customStyle="1" w:styleId="extended-textfull">
    <w:name w:val="extended-text__full"/>
    <w:basedOn w:val="a3"/>
  </w:style>
  <w:style w:type="character" w:customStyle="1" w:styleId="a7">
    <w:name w:val="Верхний колонтитул Знак"/>
    <w:basedOn w:val="a3"/>
    <w:link w:val="a6"/>
    <w:rPr>
      <w:rFonts w:ascii="Arial" w:hAnsi="Arial" w:cs="Arial"/>
      <w:sz w:val="22"/>
    </w:rPr>
  </w:style>
  <w:style w:type="character" w:customStyle="1" w:styleId="ecattext">
    <w:name w:val="ecattext"/>
    <w:basedOn w:val="a3"/>
  </w:style>
  <w:style w:type="character" w:customStyle="1" w:styleId="blk">
    <w:name w:val="blk"/>
    <w:basedOn w:val="a3"/>
  </w:style>
  <w:style w:type="paragraph" w:customStyle="1" w:styleId="affff0">
    <w:name w:val="Таблица"/>
    <w:basedOn w:val="a2"/>
    <w:next w:val="a2"/>
    <w:pPr>
      <w:spacing w:before="120" w:after="120"/>
      <w:jc w:val="both"/>
    </w:pPr>
    <w:rPr>
      <w:rFonts w:ascii="Times New Roman" w:hAnsi="Times New Roman" w:cs="Times New Roman"/>
      <w:sz w:val="24"/>
      <w:szCs w:val="20"/>
    </w:rPr>
  </w:style>
  <w:style w:type="character" w:customStyle="1" w:styleId="2c">
    <w:name w:val="Основной текст (2)_"/>
    <w:basedOn w:val="a3"/>
    <w:link w:val="2d"/>
    <w:locked/>
    <w:rPr>
      <w:sz w:val="28"/>
      <w:szCs w:val="28"/>
      <w:shd w:val="clear" w:color="auto" w:fill="FFFFFF"/>
    </w:rPr>
  </w:style>
  <w:style w:type="paragraph" w:customStyle="1" w:styleId="2d">
    <w:name w:val="Основной текст (2)"/>
    <w:basedOn w:val="a2"/>
    <w:link w:val="2c"/>
    <w:pPr>
      <w:widowControl w:val="0"/>
      <w:shd w:val="clear" w:color="auto" w:fill="FFFFFF"/>
      <w:spacing w:line="0" w:lineRule="atLeast"/>
    </w:pPr>
    <w:rPr>
      <w:rFonts w:ascii="Times New Roman" w:hAnsi="Times New Roman" w:cs="Times New Roman"/>
      <w:sz w:val="28"/>
      <w:szCs w:val="28"/>
    </w:rPr>
  </w:style>
  <w:style w:type="character" w:customStyle="1" w:styleId="1b">
    <w:name w:val="Обычный отступ Знак1"/>
    <w:aliases w:val="Обычный отступ Знак Знак Знак,Обычный отступ Знак Знак1,Обычный отступ Знак Знак Знак Знак Знак,Обычный отступ Знак Знак Знак Знак Знак Знак Знак"/>
    <w:link w:val="afff0"/>
    <w:locked/>
    <w:rPr>
      <w:rFonts w:ascii="Arial" w:hAnsi="Arial" w:cs="Arial"/>
      <w:sz w:val="22"/>
      <w:szCs w:val="22"/>
    </w:rPr>
  </w:style>
  <w:style w:type="paragraph" w:customStyle="1" w:styleId="a0">
    <w:name w:val="список"/>
    <w:basedOn w:val="a2"/>
    <w:qFormat/>
    <w:pPr>
      <w:widowControl w:val="0"/>
      <w:numPr>
        <w:numId w:val="34"/>
      </w:numPr>
      <w:spacing w:line="360" w:lineRule="auto"/>
      <w:ind w:left="993" w:hanging="284"/>
      <w:jc w:val="both"/>
    </w:pPr>
    <w:rPr>
      <w:rFonts w:cs="Times New Roman"/>
      <w:kern w:val="28"/>
      <w:szCs w:val="20"/>
    </w:rPr>
  </w:style>
  <w:style w:type="table" w:customStyle="1" w:styleId="2e">
    <w:name w:val="Сетка таблицы2"/>
    <w:basedOn w:val="a4"/>
    <w:next w:val="af6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етка таблицы3"/>
    <w:basedOn w:val="a4"/>
    <w:next w:val="af6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Pr>
      <w:rFonts w:ascii="Arial" w:hAnsi="Arial" w:cs="Arial"/>
      <w:sz w:val="22"/>
      <w:szCs w:val="22"/>
    </w:rPr>
  </w:style>
  <w:style w:type="paragraph" w:styleId="1">
    <w:name w:val="heading 1"/>
    <w:aliases w:val="1."/>
    <w:basedOn w:val="a2"/>
    <w:next w:val="a2"/>
    <w:link w:val="10"/>
    <w:qFormat/>
    <w:pPr>
      <w:keepNext/>
      <w:numPr>
        <w:numId w:val="4"/>
      </w:numPr>
      <w:overflowPunct w:val="0"/>
      <w:autoSpaceDE w:val="0"/>
      <w:autoSpaceDN w:val="0"/>
      <w:adjustRightInd w:val="0"/>
      <w:spacing w:after="240"/>
      <w:ind w:right="170"/>
      <w:textAlignment w:val="baseline"/>
      <w:outlineLvl w:val="0"/>
    </w:pPr>
    <w:rPr>
      <w:rFonts w:cs="Times New Roman"/>
      <w:b/>
      <w:caps/>
      <w:kern w:val="28"/>
      <w:szCs w:val="24"/>
    </w:rPr>
  </w:style>
  <w:style w:type="paragraph" w:styleId="2">
    <w:name w:val="heading 2"/>
    <w:basedOn w:val="a2"/>
    <w:next w:val="a2"/>
    <w:link w:val="21"/>
    <w:qFormat/>
    <w:pPr>
      <w:keepNext/>
      <w:numPr>
        <w:ilvl w:val="1"/>
        <w:numId w:val="4"/>
      </w:numPr>
      <w:overflowPunct w:val="0"/>
      <w:autoSpaceDE w:val="0"/>
      <w:autoSpaceDN w:val="0"/>
      <w:adjustRightInd w:val="0"/>
      <w:spacing w:after="240"/>
      <w:ind w:right="170"/>
      <w:jc w:val="both"/>
      <w:textAlignment w:val="baseline"/>
      <w:outlineLvl w:val="1"/>
    </w:pPr>
    <w:rPr>
      <w:rFonts w:cs="Times New Roman"/>
      <w:b/>
    </w:rPr>
  </w:style>
  <w:style w:type="paragraph" w:styleId="3">
    <w:name w:val="heading 3"/>
    <w:basedOn w:val="a2"/>
    <w:next w:val="a2"/>
    <w:link w:val="30"/>
    <w:qFormat/>
    <w:pPr>
      <w:keepNext/>
      <w:numPr>
        <w:ilvl w:val="2"/>
        <w:numId w:val="4"/>
      </w:numPr>
      <w:overflowPunct w:val="0"/>
      <w:autoSpaceDE w:val="0"/>
      <w:autoSpaceDN w:val="0"/>
      <w:adjustRightInd w:val="0"/>
      <w:ind w:right="170"/>
      <w:textAlignment w:val="baseline"/>
      <w:outlineLvl w:val="2"/>
    </w:pPr>
    <w:rPr>
      <w:rFonts w:cs="Times New Roman"/>
      <w:i/>
      <w:szCs w:val="20"/>
    </w:rPr>
  </w:style>
  <w:style w:type="paragraph" w:styleId="40">
    <w:name w:val="heading 4"/>
    <w:basedOn w:val="a2"/>
    <w:next w:val="a2"/>
    <w:qFormat/>
    <w:pPr>
      <w:keepNext/>
      <w:widowControl w:val="0"/>
      <w:numPr>
        <w:ilvl w:val="3"/>
        <w:numId w:val="1"/>
      </w:numPr>
      <w:spacing w:before="240" w:after="60"/>
      <w:outlineLvl w:val="3"/>
    </w:pPr>
    <w:rPr>
      <w:szCs w:val="20"/>
    </w:rPr>
  </w:style>
  <w:style w:type="paragraph" w:styleId="5">
    <w:name w:val="heading 5"/>
    <w:basedOn w:val="a2"/>
    <w:next w:val="a2"/>
    <w:qFormat/>
    <w:pPr>
      <w:widowControl w:val="0"/>
      <w:numPr>
        <w:ilvl w:val="4"/>
        <w:numId w:val="1"/>
      </w:numPr>
      <w:spacing w:before="240" w:after="60"/>
      <w:outlineLvl w:val="4"/>
    </w:pPr>
    <w:rPr>
      <w:i/>
      <w:szCs w:val="20"/>
    </w:rPr>
  </w:style>
  <w:style w:type="paragraph" w:styleId="6">
    <w:name w:val="heading 6"/>
    <w:basedOn w:val="a2"/>
    <w:next w:val="a2"/>
    <w:qFormat/>
    <w:pPr>
      <w:widowControl w:val="0"/>
      <w:numPr>
        <w:ilvl w:val="5"/>
        <w:numId w:val="1"/>
      </w:numPr>
      <w:spacing w:before="240" w:after="60"/>
      <w:outlineLvl w:val="5"/>
    </w:pPr>
    <w:rPr>
      <w:i/>
      <w:szCs w:val="20"/>
    </w:rPr>
  </w:style>
  <w:style w:type="paragraph" w:styleId="7">
    <w:name w:val="heading 7"/>
    <w:basedOn w:val="a2"/>
    <w:next w:val="a2"/>
    <w:qFormat/>
    <w:pPr>
      <w:widowControl w:val="0"/>
      <w:numPr>
        <w:ilvl w:val="6"/>
        <w:numId w:val="1"/>
      </w:numPr>
      <w:spacing w:before="240" w:after="60"/>
      <w:outlineLvl w:val="6"/>
    </w:pPr>
    <w:rPr>
      <w:szCs w:val="20"/>
    </w:rPr>
  </w:style>
  <w:style w:type="paragraph" w:styleId="8">
    <w:name w:val="heading 8"/>
    <w:basedOn w:val="a2"/>
    <w:next w:val="a2"/>
    <w:qFormat/>
    <w:pPr>
      <w:widowControl w:val="0"/>
      <w:numPr>
        <w:ilvl w:val="7"/>
        <w:numId w:val="1"/>
      </w:numPr>
      <w:spacing w:before="240" w:after="60"/>
      <w:outlineLvl w:val="7"/>
    </w:pPr>
    <w:rPr>
      <w:i/>
      <w:szCs w:val="20"/>
    </w:rPr>
  </w:style>
  <w:style w:type="paragraph" w:styleId="9">
    <w:name w:val="heading 9"/>
    <w:basedOn w:val="a2"/>
    <w:next w:val="a2"/>
    <w:qFormat/>
    <w:pPr>
      <w:widowControl w:val="0"/>
      <w:numPr>
        <w:ilvl w:val="8"/>
        <w:numId w:val="1"/>
      </w:numPr>
      <w:spacing w:before="240" w:after="60"/>
      <w:outlineLvl w:val="8"/>
    </w:pPr>
    <w:rPr>
      <w:b/>
      <w:i/>
      <w:sz w:val="18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aliases w:val="1. Знак"/>
    <w:link w:val="1"/>
    <w:locked/>
    <w:rPr>
      <w:rFonts w:ascii="Arial" w:hAnsi="Arial"/>
      <w:b/>
      <w:caps/>
      <w:kern w:val="28"/>
      <w:sz w:val="22"/>
      <w:szCs w:val="24"/>
    </w:rPr>
  </w:style>
  <w:style w:type="character" w:customStyle="1" w:styleId="21">
    <w:name w:val="Заголовок 2 Знак"/>
    <w:link w:val="2"/>
    <w:rPr>
      <w:rFonts w:ascii="Arial" w:hAnsi="Arial"/>
      <w:b/>
      <w:sz w:val="22"/>
      <w:szCs w:val="22"/>
    </w:rPr>
  </w:style>
  <w:style w:type="character" w:customStyle="1" w:styleId="30">
    <w:name w:val="Заголовок 3 Знак"/>
    <w:link w:val="3"/>
    <w:rPr>
      <w:rFonts w:ascii="Arial" w:hAnsi="Arial"/>
      <w:i/>
      <w:sz w:val="22"/>
    </w:rPr>
  </w:style>
  <w:style w:type="paragraph" w:styleId="a6">
    <w:name w:val="header"/>
    <w:basedOn w:val="a2"/>
    <w:link w:val="a7"/>
    <w:pPr>
      <w:widowControl w:val="0"/>
      <w:tabs>
        <w:tab w:val="center" w:pos="4153"/>
        <w:tab w:val="right" w:pos="8306"/>
      </w:tabs>
    </w:pPr>
    <w:rPr>
      <w:szCs w:val="20"/>
    </w:rPr>
  </w:style>
  <w:style w:type="character" w:styleId="a8">
    <w:name w:val="annotation reference"/>
    <w:semiHidden/>
    <w:rPr>
      <w:sz w:val="16"/>
    </w:rPr>
  </w:style>
  <w:style w:type="paragraph" w:styleId="a9">
    <w:name w:val="caption"/>
    <w:basedOn w:val="a2"/>
    <w:next w:val="a2"/>
    <w:qFormat/>
    <w:pPr>
      <w:widowControl w:val="0"/>
      <w:spacing w:before="120" w:after="120"/>
    </w:pPr>
    <w:rPr>
      <w:b/>
      <w:szCs w:val="20"/>
    </w:rPr>
  </w:style>
  <w:style w:type="paragraph" w:styleId="aa">
    <w:name w:val="footer"/>
    <w:basedOn w:val="a2"/>
    <w:link w:val="ab"/>
    <w:pPr>
      <w:widowControl w:val="0"/>
      <w:tabs>
        <w:tab w:val="center" w:pos="4153"/>
        <w:tab w:val="right" w:pos="8306"/>
      </w:tabs>
    </w:pPr>
    <w:rPr>
      <w:szCs w:val="20"/>
    </w:rPr>
  </w:style>
  <w:style w:type="paragraph" w:styleId="ac">
    <w:name w:val="Body Text Indent"/>
    <w:basedOn w:val="a2"/>
    <w:link w:val="ad"/>
    <w:pPr>
      <w:ind w:firstLine="708"/>
      <w:jc w:val="both"/>
    </w:pPr>
    <w:rPr>
      <w:rFonts w:cs="Times New Roman"/>
    </w:rPr>
  </w:style>
  <w:style w:type="character" w:customStyle="1" w:styleId="ad">
    <w:name w:val="Основной текст с отступом Знак"/>
    <w:link w:val="ac"/>
    <w:rPr>
      <w:rFonts w:ascii="Arial" w:hAnsi="Arial" w:cs="Arial"/>
      <w:sz w:val="22"/>
      <w:szCs w:val="22"/>
    </w:rPr>
  </w:style>
  <w:style w:type="character" w:styleId="ae">
    <w:name w:val="page number"/>
    <w:basedOn w:val="a3"/>
  </w:style>
  <w:style w:type="paragraph" w:styleId="22">
    <w:name w:val="Body Text Indent 2"/>
    <w:basedOn w:val="a2"/>
    <w:link w:val="23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Century" w:hAnsi="Century" w:cs="Times New Roman"/>
      <w:sz w:val="20"/>
      <w:szCs w:val="20"/>
    </w:rPr>
  </w:style>
  <w:style w:type="character" w:customStyle="1" w:styleId="23">
    <w:name w:val="Основной текст с отступом 2 Знак"/>
    <w:link w:val="22"/>
    <w:rPr>
      <w:rFonts w:ascii="Century" w:hAnsi="Century" w:cs="Arial"/>
    </w:rPr>
  </w:style>
  <w:style w:type="paragraph" w:customStyle="1" w:styleId="BodyText21">
    <w:name w:val="Body Text 21"/>
    <w:basedOn w:val="a2"/>
    <w:pPr>
      <w:keepNext/>
      <w:widowControl w:val="0"/>
      <w:overflowPunct w:val="0"/>
      <w:autoSpaceDE w:val="0"/>
      <w:autoSpaceDN w:val="0"/>
      <w:adjustRightInd w:val="0"/>
      <w:ind w:left="-142"/>
      <w:jc w:val="both"/>
      <w:textAlignment w:val="baseline"/>
    </w:pPr>
    <w:rPr>
      <w:szCs w:val="20"/>
    </w:rPr>
  </w:style>
  <w:style w:type="paragraph" w:styleId="af">
    <w:name w:val="Title"/>
    <w:aliases w:val="Название Знак1,Название Знак Знак"/>
    <w:basedOn w:val="a2"/>
    <w:link w:val="af0"/>
    <w:qFormat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8"/>
      <w:szCs w:val="20"/>
    </w:rPr>
  </w:style>
  <w:style w:type="character" w:customStyle="1" w:styleId="af0">
    <w:name w:val="Название Знак"/>
    <w:aliases w:val="Название Знак1 Знак,Название Знак Знак Знак"/>
    <w:link w:val="af"/>
    <w:locked/>
    <w:rPr>
      <w:rFonts w:ascii="Arial" w:hAnsi="Arial" w:cs="Arial"/>
      <w:b/>
      <w:sz w:val="28"/>
      <w:lang w:val="ru-RU" w:eastAsia="ru-RU" w:bidi="ar-SA"/>
    </w:rPr>
  </w:style>
  <w:style w:type="paragraph" w:styleId="af1">
    <w:name w:val="Subtitle"/>
    <w:basedOn w:val="a2"/>
    <w:qFormat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8"/>
      <w:szCs w:val="20"/>
    </w:rPr>
  </w:style>
  <w:style w:type="paragraph" w:styleId="11">
    <w:name w:val="toc 1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170"/>
      <w:textAlignment w:val="baseline"/>
    </w:pPr>
    <w:rPr>
      <w:szCs w:val="20"/>
    </w:rPr>
  </w:style>
  <w:style w:type="character" w:styleId="af2">
    <w:name w:val="Hyperlink"/>
    <w:uiPriority w:val="99"/>
    <w:rPr>
      <w:color w:val="0000FF"/>
      <w:u w:val="single"/>
    </w:rPr>
  </w:style>
  <w:style w:type="paragraph" w:styleId="12">
    <w:name w:val="index 1"/>
    <w:basedOn w:val="a2"/>
    <w:next w:val="a2"/>
    <w:autoRedefine/>
    <w:semiHidden/>
    <w:pPr>
      <w:ind w:left="240" w:hanging="240"/>
    </w:pPr>
  </w:style>
  <w:style w:type="paragraph" w:styleId="24">
    <w:name w:val="toc 2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340"/>
      <w:textAlignment w:val="baseline"/>
    </w:pPr>
    <w:rPr>
      <w:szCs w:val="20"/>
    </w:rPr>
  </w:style>
  <w:style w:type="paragraph" w:styleId="31">
    <w:name w:val="toc 3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567"/>
      <w:textAlignment w:val="baseline"/>
    </w:pPr>
    <w:rPr>
      <w:szCs w:val="20"/>
    </w:rPr>
  </w:style>
  <w:style w:type="paragraph" w:styleId="32">
    <w:name w:val="Body Text Indent 3"/>
    <w:basedOn w:val="a2"/>
    <w:link w:val="33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Times New Roman CYR" w:hAnsi="Times New Roman CYR" w:cs="Times New Roman"/>
      <w:szCs w:val="20"/>
    </w:rPr>
  </w:style>
  <w:style w:type="character" w:customStyle="1" w:styleId="33">
    <w:name w:val="Основной текст с отступом 3 Знак"/>
    <w:link w:val="32"/>
    <w:rPr>
      <w:rFonts w:ascii="Times New Roman CYR" w:hAnsi="Times New Roman CYR" w:cs="Arial"/>
      <w:sz w:val="22"/>
    </w:rPr>
  </w:style>
  <w:style w:type="paragraph" w:styleId="af3">
    <w:name w:val="Body Text"/>
    <w:basedOn w:val="a2"/>
    <w:pPr>
      <w:framePr w:hSpace="180" w:wrap="around" w:vAnchor="text" w:hAnchor="page" w:x="1630" w:y="646"/>
      <w:jc w:val="center"/>
    </w:pPr>
  </w:style>
  <w:style w:type="paragraph" w:styleId="41">
    <w:name w:val="toc 4"/>
    <w:basedOn w:val="a2"/>
    <w:next w:val="a2"/>
    <w:uiPriority w:val="39"/>
    <w:pPr>
      <w:tabs>
        <w:tab w:val="right" w:leader="dot" w:pos="9922"/>
      </w:tabs>
      <w:overflowPunct w:val="0"/>
      <w:autoSpaceDE w:val="0"/>
      <w:autoSpaceDN w:val="0"/>
      <w:adjustRightInd w:val="0"/>
      <w:ind w:left="600"/>
      <w:textAlignment w:val="baseline"/>
    </w:pPr>
    <w:rPr>
      <w:szCs w:val="20"/>
    </w:rPr>
  </w:style>
  <w:style w:type="paragraph" w:styleId="50">
    <w:name w:val="toc 5"/>
    <w:basedOn w:val="a2"/>
    <w:next w:val="a2"/>
    <w:autoRedefine/>
    <w:semiHidden/>
    <w:pPr>
      <w:ind w:left="960"/>
    </w:pPr>
  </w:style>
  <w:style w:type="paragraph" w:styleId="60">
    <w:name w:val="toc 6"/>
    <w:basedOn w:val="a2"/>
    <w:next w:val="a2"/>
    <w:autoRedefine/>
    <w:semiHidden/>
    <w:pPr>
      <w:ind w:left="1200"/>
    </w:pPr>
  </w:style>
  <w:style w:type="paragraph" w:styleId="70">
    <w:name w:val="toc 7"/>
    <w:basedOn w:val="a2"/>
    <w:next w:val="a2"/>
    <w:autoRedefine/>
    <w:semiHidden/>
    <w:pPr>
      <w:ind w:left="1440"/>
    </w:pPr>
  </w:style>
  <w:style w:type="paragraph" w:styleId="80">
    <w:name w:val="toc 8"/>
    <w:basedOn w:val="a2"/>
    <w:next w:val="a2"/>
    <w:autoRedefine/>
    <w:semiHidden/>
    <w:pPr>
      <w:ind w:left="1680"/>
    </w:pPr>
  </w:style>
  <w:style w:type="paragraph" w:styleId="90">
    <w:name w:val="toc 9"/>
    <w:basedOn w:val="a2"/>
    <w:next w:val="a2"/>
    <w:autoRedefine/>
    <w:semiHidden/>
    <w:pPr>
      <w:ind w:left="1920"/>
    </w:pPr>
  </w:style>
  <w:style w:type="paragraph" w:styleId="25">
    <w:name w:val="Body Text 2"/>
    <w:basedOn w:val="a2"/>
    <w:link w:val="26"/>
    <w:pPr>
      <w:jc w:val="both"/>
    </w:pPr>
    <w:rPr>
      <w:rFonts w:cs="Times New Roman"/>
    </w:rPr>
  </w:style>
  <w:style w:type="character" w:customStyle="1" w:styleId="26">
    <w:name w:val="Основной текст 2 Знак"/>
    <w:link w:val="25"/>
    <w:rPr>
      <w:rFonts w:ascii="Arial" w:hAnsi="Arial" w:cs="Arial"/>
      <w:sz w:val="22"/>
      <w:szCs w:val="22"/>
    </w:rPr>
  </w:style>
  <w:style w:type="paragraph" w:styleId="34">
    <w:name w:val="Body Text 3"/>
    <w:basedOn w:val="a2"/>
    <w:rPr>
      <w:b/>
      <w:bCs/>
    </w:rPr>
  </w:style>
  <w:style w:type="paragraph" w:customStyle="1" w:styleId="af4">
    <w:name w:val="Чертежный"/>
    <w:pPr>
      <w:jc w:val="both"/>
    </w:pPr>
    <w:rPr>
      <w:rFonts w:ascii="ISOCPEUR" w:hAnsi="ISOCPEUR"/>
      <w:i/>
      <w:sz w:val="28"/>
      <w:lang w:val="uk-UA"/>
    </w:rPr>
  </w:style>
  <w:style w:type="paragraph" w:customStyle="1" w:styleId="35">
    <w:name w:val="заголовок 3"/>
    <w:basedOn w:val="a2"/>
    <w:next w:val="a2"/>
    <w:pPr>
      <w:keepNext/>
      <w:spacing w:before="60" w:after="60" w:line="360" w:lineRule="auto"/>
      <w:jc w:val="center"/>
    </w:pPr>
    <w:rPr>
      <w:szCs w:val="20"/>
    </w:rPr>
  </w:style>
  <w:style w:type="paragraph" w:styleId="af5">
    <w:name w:val="annotation text"/>
    <w:basedOn w:val="a2"/>
    <w:semiHidden/>
    <w:pPr>
      <w:widowControl w:val="0"/>
    </w:pPr>
    <w:rPr>
      <w:szCs w:val="20"/>
    </w:rPr>
  </w:style>
  <w:style w:type="table" w:styleId="af6">
    <w:name w:val="Table Grid"/>
    <w:basedOn w:val="a4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Стиль1"/>
    <w:basedOn w:val="11"/>
    <w:pPr>
      <w:tabs>
        <w:tab w:val="left" w:pos="480"/>
      </w:tabs>
    </w:pPr>
    <w:rPr>
      <w:noProof/>
    </w:rPr>
  </w:style>
  <w:style w:type="paragraph" w:customStyle="1" w:styleId="210">
    <w:name w:val="Стиль21"/>
    <w:basedOn w:val="11"/>
    <w:pPr>
      <w:tabs>
        <w:tab w:val="left" w:pos="400"/>
      </w:tabs>
    </w:pPr>
    <w:rPr>
      <w:noProof/>
    </w:rPr>
  </w:style>
  <w:style w:type="paragraph" w:styleId="af7">
    <w:name w:val="List Number"/>
    <w:basedOn w:val="a2"/>
    <w:pPr>
      <w:tabs>
        <w:tab w:val="num" w:pos="720"/>
      </w:tabs>
      <w:ind w:left="720" w:hanging="360"/>
    </w:pPr>
    <w:rPr>
      <w:sz w:val="20"/>
      <w:szCs w:val="20"/>
    </w:rPr>
  </w:style>
  <w:style w:type="paragraph" w:styleId="af8">
    <w:name w:val="Normal (Web)"/>
    <w:basedOn w:val="a2"/>
  </w:style>
  <w:style w:type="paragraph" w:styleId="af9">
    <w:name w:val="index heading"/>
    <w:basedOn w:val="a2"/>
    <w:next w:val="12"/>
    <w:semiHidden/>
    <w:pPr>
      <w:ind w:firstLine="709"/>
      <w:jc w:val="both"/>
    </w:pPr>
  </w:style>
  <w:style w:type="paragraph" w:customStyle="1" w:styleId="ConsNormal">
    <w:name w:val="ConsNormal"/>
    <w:uiPriority w:val="99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ConsPlusNormal">
    <w:name w:val="ConsPlusNormal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Heading">
    <w:name w:val="Heading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styleId="afa">
    <w:name w:val="Document Map"/>
    <w:basedOn w:val="a2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14">
    <w:name w:val="Знак Знак1 Знак Знак Знак Знак Знак Знак Знак Знак Знак Знак"/>
    <w:basedOn w:val="a2"/>
    <w:rPr>
      <w:sz w:val="28"/>
      <w:szCs w:val="20"/>
    </w:rPr>
  </w:style>
  <w:style w:type="paragraph" w:customStyle="1" w:styleId="15">
    <w:name w:val="Об уп1"/>
    <w:basedOn w:val="a2"/>
    <w:pPr>
      <w:ind w:firstLine="720"/>
      <w:jc w:val="both"/>
    </w:pPr>
    <w:rPr>
      <w:spacing w:val="-2"/>
      <w:sz w:val="28"/>
      <w:szCs w:val="20"/>
    </w:rPr>
  </w:style>
  <w:style w:type="paragraph" w:customStyle="1" w:styleId="afb">
    <w:name w:val="Назв Ссылка"/>
    <w:basedOn w:val="a2"/>
    <w:next w:val="a2"/>
    <w:pPr>
      <w:keepNext/>
      <w:ind w:firstLine="720"/>
      <w:jc w:val="right"/>
    </w:pPr>
    <w:rPr>
      <w:sz w:val="28"/>
      <w:szCs w:val="20"/>
    </w:rPr>
  </w:style>
  <w:style w:type="paragraph" w:customStyle="1" w:styleId="110">
    <w:name w:val="Об таб лево11"/>
    <w:basedOn w:val="a2"/>
  </w:style>
  <w:style w:type="paragraph" w:customStyle="1" w:styleId="ConsTitle">
    <w:name w:val="ConsTitle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paragraph" w:customStyle="1" w:styleId="afc">
    <w:name w:val="Список источников"/>
    <w:basedOn w:val="afd"/>
    <w:next w:val="a2"/>
    <w:autoRedefine/>
    <w:pPr>
      <w:keepNext/>
      <w:pageBreakBefore w:val="0"/>
      <w:tabs>
        <w:tab w:val="right" w:pos="10206"/>
      </w:tabs>
      <w:autoSpaceDE/>
      <w:autoSpaceDN/>
      <w:spacing w:after="0"/>
      <w:ind w:left="0" w:firstLine="709"/>
      <w:jc w:val="left"/>
      <w:outlineLvl w:val="1"/>
    </w:pPr>
    <w:rPr>
      <w:bCs/>
      <w:caps w:val="0"/>
      <w:szCs w:val="20"/>
    </w:rPr>
  </w:style>
  <w:style w:type="paragraph" w:customStyle="1" w:styleId="afd">
    <w:name w:val="Заголовок"/>
    <w:basedOn w:val="a2"/>
    <w:next w:val="a2"/>
    <w:pPr>
      <w:keepLines/>
      <w:pageBreakBefore/>
      <w:suppressAutoHyphens/>
      <w:autoSpaceDE w:val="0"/>
      <w:autoSpaceDN w:val="0"/>
      <w:spacing w:after="560"/>
      <w:ind w:left="709"/>
      <w:jc w:val="both"/>
    </w:pPr>
    <w:rPr>
      <w:caps/>
      <w:sz w:val="28"/>
      <w:szCs w:val="28"/>
    </w:rPr>
  </w:style>
  <w:style w:type="paragraph" w:customStyle="1" w:styleId="16">
    <w:name w:val="Список 1"/>
    <w:basedOn w:val="a2"/>
    <w:pPr>
      <w:tabs>
        <w:tab w:val="num" w:pos="360"/>
      </w:tabs>
      <w:ind w:left="295" w:hanging="295"/>
      <w:jc w:val="both"/>
    </w:pPr>
    <w:rPr>
      <w:sz w:val="28"/>
    </w:rPr>
  </w:style>
  <w:style w:type="paragraph" w:customStyle="1" w:styleId="afe">
    <w:name w:val="Заголовок три"/>
    <w:basedOn w:val="3"/>
    <w:pPr>
      <w:keepLines/>
      <w:numPr>
        <w:ilvl w:val="0"/>
        <w:numId w:val="0"/>
      </w:numPr>
      <w:suppressAutoHyphens/>
      <w:overflowPunct/>
      <w:autoSpaceDE/>
      <w:autoSpaceDN/>
      <w:adjustRightInd/>
      <w:ind w:firstLine="720"/>
      <w:jc w:val="both"/>
      <w:textAlignment w:val="auto"/>
      <w:outlineLvl w:val="9"/>
    </w:pPr>
    <w:rPr>
      <w:szCs w:val="24"/>
    </w:rPr>
  </w:style>
  <w:style w:type="paragraph" w:styleId="27">
    <w:name w:val="List Bullet 2"/>
    <w:basedOn w:val="a2"/>
    <w:pPr>
      <w:ind w:left="566" w:hanging="283"/>
    </w:pPr>
    <w:rPr>
      <w:szCs w:val="20"/>
    </w:rPr>
  </w:style>
  <w:style w:type="paragraph" w:customStyle="1" w:styleId="51">
    <w:name w:val="Основной текст 5"/>
    <w:basedOn w:val="ac"/>
    <w:pPr>
      <w:spacing w:after="120"/>
      <w:ind w:left="283" w:firstLine="709"/>
      <w:jc w:val="left"/>
    </w:pPr>
    <w:rPr>
      <w:szCs w:val="20"/>
    </w:rPr>
  </w:style>
  <w:style w:type="paragraph" w:customStyle="1" w:styleId="42">
    <w:name w:val="Основной текст 4"/>
    <w:basedOn w:val="ac"/>
    <w:pPr>
      <w:spacing w:after="120"/>
      <w:ind w:left="283" w:firstLine="709"/>
      <w:jc w:val="left"/>
    </w:pPr>
    <w:rPr>
      <w:szCs w:val="20"/>
    </w:rPr>
  </w:style>
  <w:style w:type="paragraph" w:styleId="28">
    <w:name w:val="List 2"/>
    <w:basedOn w:val="a2"/>
    <w:pPr>
      <w:ind w:left="566" w:hanging="283"/>
    </w:pPr>
    <w:rPr>
      <w:szCs w:val="20"/>
    </w:rPr>
  </w:style>
  <w:style w:type="paragraph" w:styleId="29">
    <w:name w:val="List Continue 2"/>
    <w:basedOn w:val="a2"/>
    <w:pPr>
      <w:spacing w:after="120"/>
      <w:ind w:left="566" w:firstLine="709"/>
    </w:pPr>
    <w:rPr>
      <w:szCs w:val="20"/>
    </w:rPr>
  </w:style>
  <w:style w:type="paragraph" w:styleId="aff">
    <w:name w:val="List"/>
    <w:basedOn w:val="a2"/>
    <w:pPr>
      <w:ind w:left="283" w:hanging="283"/>
    </w:pPr>
    <w:rPr>
      <w:szCs w:val="20"/>
    </w:rPr>
  </w:style>
  <w:style w:type="paragraph" w:customStyle="1" w:styleId="Caaieiaie">
    <w:name w:val="Caaieiaie"/>
    <w:basedOn w:val="a2"/>
    <w:next w:val="a2"/>
    <w:pPr>
      <w:keepLines/>
      <w:pageBreakBefore/>
      <w:suppressAutoHyphens/>
      <w:spacing w:after="560"/>
      <w:ind w:left="709" w:firstLine="709"/>
      <w:jc w:val="both"/>
    </w:pPr>
    <w:rPr>
      <w:caps/>
      <w:sz w:val="28"/>
      <w:szCs w:val="20"/>
    </w:rPr>
  </w:style>
  <w:style w:type="paragraph" w:styleId="aff0">
    <w:name w:val="Plain Text"/>
    <w:basedOn w:val="a2"/>
    <w:pPr>
      <w:ind w:firstLine="720"/>
      <w:jc w:val="both"/>
    </w:pPr>
    <w:rPr>
      <w:szCs w:val="20"/>
    </w:rPr>
  </w:style>
  <w:style w:type="paragraph" w:customStyle="1" w:styleId="aff1">
    <w:name w:val="Таблицы"/>
    <w:basedOn w:val="a2"/>
    <w:pPr>
      <w:jc w:val="center"/>
    </w:pPr>
    <w:rPr>
      <w:szCs w:val="20"/>
    </w:rPr>
  </w:style>
  <w:style w:type="paragraph" w:customStyle="1" w:styleId="43">
    <w:name w:val="заголовок 4"/>
    <w:basedOn w:val="a2"/>
    <w:next w:val="a2"/>
    <w:pPr>
      <w:keepNext/>
      <w:widowControl w:val="0"/>
      <w:spacing w:line="312" w:lineRule="auto"/>
      <w:ind w:firstLine="720"/>
    </w:pPr>
    <w:rPr>
      <w:sz w:val="28"/>
      <w:szCs w:val="28"/>
    </w:rPr>
  </w:style>
  <w:style w:type="paragraph" w:styleId="aff2">
    <w:name w:val="List Continue"/>
    <w:basedOn w:val="a2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20"/>
      <w:szCs w:val="20"/>
    </w:rPr>
  </w:style>
  <w:style w:type="paragraph" w:customStyle="1" w:styleId="17">
    <w:name w:val="çàãîëîâîê 1"/>
    <w:basedOn w:val="a2"/>
    <w:next w:val="a2"/>
    <w:pPr>
      <w:keepNext/>
      <w:widowControl w:val="0"/>
      <w:spacing w:line="312" w:lineRule="auto"/>
      <w:jc w:val="center"/>
    </w:pPr>
    <w:rPr>
      <w:sz w:val="26"/>
      <w:szCs w:val="26"/>
    </w:rPr>
  </w:style>
  <w:style w:type="paragraph" w:customStyle="1" w:styleId="df2ef3">
    <w:name w:val="Îñíîâíîé òåêñò ñ îòñdf2óãefîì 3"/>
    <w:basedOn w:val="a2"/>
    <w:pPr>
      <w:widowControl w:val="0"/>
      <w:ind w:firstLine="720"/>
      <w:jc w:val="both"/>
    </w:pPr>
    <w:rPr>
      <w:b/>
      <w:bCs/>
    </w:rPr>
  </w:style>
  <w:style w:type="paragraph" w:styleId="aff3">
    <w:name w:val="annotation subject"/>
    <w:basedOn w:val="af5"/>
    <w:next w:val="af5"/>
    <w:semiHidden/>
    <w:pPr>
      <w:widowControl/>
      <w:ind w:firstLine="709"/>
      <w:jc w:val="both"/>
    </w:pPr>
    <w:rPr>
      <w:b/>
      <w:bCs/>
      <w:sz w:val="20"/>
    </w:rPr>
  </w:style>
  <w:style w:type="paragraph" w:styleId="aff4">
    <w:name w:val="Balloon Text"/>
    <w:basedOn w:val="a2"/>
    <w:semiHidden/>
    <w:pPr>
      <w:ind w:firstLine="709"/>
      <w:jc w:val="both"/>
    </w:pPr>
    <w:rPr>
      <w:rFonts w:ascii="Tahoma" w:hAnsi="Tahoma" w:cs="Tahoma"/>
      <w:sz w:val="16"/>
      <w:szCs w:val="16"/>
    </w:rPr>
  </w:style>
  <w:style w:type="paragraph" w:customStyle="1" w:styleId="Normal">
    <w:name w:val="[Normal]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aff5">
    <w:name w:val="табл_заголовок"/>
    <w:pPr>
      <w:keepNext/>
      <w:keepLines/>
      <w:jc w:val="center"/>
    </w:pPr>
    <w:rPr>
      <w:noProof/>
      <w:sz w:val="24"/>
    </w:rPr>
  </w:style>
  <w:style w:type="character" w:customStyle="1" w:styleId="aff6">
    <w:name w:val="номер страницы"/>
    <w:rPr>
      <w:rFonts w:cs="Times New Roman"/>
    </w:rPr>
  </w:style>
  <w:style w:type="paragraph" w:customStyle="1" w:styleId="-">
    <w:name w:val="УГТП-Текст"/>
    <w:basedOn w:val="a2"/>
    <w:link w:val="-1"/>
    <w:pPr>
      <w:ind w:left="284" w:right="284" w:firstLine="851"/>
      <w:jc w:val="both"/>
    </w:pPr>
    <w:rPr>
      <w:sz w:val="24"/>
      <w:szCs w:val="24"/>
    </w:rPr>
  </w:style>
  <w:style w:type="character" w:customStyle="1" w:styleId="-1">
    <w:name w:val="УГТП-Текст Знак1"/>
    <w:link w:val="-"/>
    <w:locked/>
    <w:rPr>
      <w:rFonts w:ascii="Arial" w:hAnsi="Arial" w:cs="Arial"/>
      <w:sz w:val="24"/>
      <w:szCs w:val="24"/>
      <w:lang w:val="ru-RU" w:eastAsia="ru-RU" w:bidi="ar-SA"/>
    </w:rPr>
  </w:style>
  <w:style w:type="paragraph" w:customStyle="1" w:styleId="aff7">
    <w:name w:val="Основной_ГСТРОЙ"/>
    <w:basedOn w:val="a2"/>
    <w:link w:val="aff8"/>
    <w:pPr>
      <w:spacing w:line="360" w:lineRule="auto"/>
      <w:ind w:firstLine="70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8">
    <w:name w:val="Основной_ГСТРОЙ Знак"/>
    <w:link w:val="aff7"/>
    <w:rPr>
      <w:sz w:val="24"/>
      <w:szCs w:val="24"/>
      <w:lang w:val="ru-RU" w:eastAsia="ru-RU" w:bidi="ar-SA"/>
    </w:rPr>
  </w:style>
  <w:style w:type="table" w:customStyle="1" w:styleId="18">
    <w:name w:val="Сетка таблицы1"/>
    <w:basedOn w:val="a4"/>
    <w:next w:val="af6"/>
    <w:pPr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2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customStyle="1" w:styleId="aff9">
    <w:name w:val="Знак"/>
    <w:basedOn w:val="a2"/>
    <w:rPr>
      <w:sz w:val="28"/>
      <w:szCs w:val="20"/>
    </w:rPr>
  </w:style>
  <w:style w:type="character" w:customStyle="1" w:styleId="affa">
    <w:name w:val="Обычный полужирный"/>
    <w:rPr>
      <w:b/>
      <w:bCs/>
    </w:rPr>
  </w:style>
  <w:style w:type="paragraph" w:customStyle="1" w:styleId="affb">
    <w:name w:val="Основной текст документа Знак"/>
    <w:basedOn w:val="a2"/>
    <w:link w:val="affc"/>
    <w:pPr>
      <w:widowControl w:val="0"/>
      <w:ind w:firstLine="720"/>
      <w:jc w:val="both"/>
    </w:pPr>
    <w:rPr>
      <w:rFonts w:ascii="Times New Roman" w:hAnsi="Times New Roman" w:cs="Times New Roman"/>
      <w:sz w:val="26"/>
      <w:szCs w:val="26"/>
      <w:lang w:eastAsia="en-US"/>
    </w:rPr>
  </w:style>
  <w:style w:type="character" w:customStyle="1" w:styleId="affc">
    <w:name w:val="Основной текст документа Знак Знак"/>
    <w:link w:val="affb"/>
    <w:locked/>
    <w:rPr>
      <w:sz w:val="26"/>
      <w:szCs w:val="26"/>
      <w:lang w:val="ru-RU" w:eastAsia="en-US" w:bidi="ar-SA"/>
    </w:rPr>
  </w:style>
  <w:style w:type="paragraph" w:customStyle="1" w:styleId="affd">
    <w:name w:val="Осн_Ошское"/>
    <w:basedOn w:val="ac"/>
    <w:link w:val="affe"/>
    <w:semiHidden/>
    <w:pPr>
      <w:spacing w:line="360" w:lineRule="auto"/>
      <w:ind w:firstLine="709"/>
    </w:pPr>
    <w:rPr>
      <w:rFonts w:ascii="Times New Roman" w:hAnsi="Times New Roman"/>
      <w:sz w:val="24"/>
      <w:szCs w:val="20"/>
    </w:rPr>
  </w:style>
  <w:style w:type="character" w:customStyle="1" w:styleId="affe">
    <w:name w:val="Осн_Ошское Знак"/>
    <w:link w:val="affd"/>
    <w:rPr>
      <w:sz w:val="24"/>
      <w:lang w:val="ru-RU" w:eastAsia="ru-RU" w:bidi="ar-SA"/>
    </w:rPr>
  </w:style>
  <w:style w:type="paragraph" w:customStyle="1" w:styleId="Normal16">
    <w:name w:val="Normal 1 + После:  6 пт"/>
    <w:basedOn w:val="a2"/>
    <w:pPr>
      <w:spacing w:before="120" w:after="120"/>
      <w:ind w:left="851"/>
      <w:jc w:val="both"/>
    </w:pPr>
    <w:rPr>
      <w:sz w:val="20"/>
      <w:szCs w:val="20"/>
    </w:rPr>
  </w:style>
  <w:style w:type="paragraph" w:customStyle="1" w:styleId="19">
    <w:name w:val="Обычный1"/>
    <w:pPr>
      <w:widowControl w:val="0"/>
      <w:spacing w:line="280" w:lineRule="auto"/>
      <w:ind w:firstLine="300"/>
      <w:jc w:val="both"/>
    </w:pPr>
    <w:rPr>
      <w:snapToGrid w:val="0"/>
    </w:rPr>
  </w:style>
  <w:style w:type="character" w:styleId="afff">
    <w:name w:val="Strong"/>
    <w:uiPriority w:val="22"/>
    <w:qFormat/>
    <w:rPr>
      <w:rFonts w:cs="Times New Roman"/>
      <w:b/>
      <w:bCs/>
    </w:rPr>
  </w:style>
  <w:style w:type="paragraph" w:customStyle="1" w:styleId="-0">
    <w:name w:val="-Текст"/>
    <w:basedOn w:val="a2"/>
    <w:pPr>
      <w:ind w:left="284" w:right="284" w:firstLine="851"/>
      <w:jc w:val="both"/>
    </w:pPr>
  </w:style>
  <w:style w:type="paragraph" w:customStyle="1" w:styleId="1a">
    <w:name w:val="Обычный 1"/>
    <w:basedOn w:val="a2"/>
    <w:pPr>
      <w:keepNext/>
      <w:widowControl w:val="0"/>
      <w:overflowPunct w:val="0"/>
      <w:autoSpaceDE w:val="0"/>
      <w:autoSpaceDN w:val="0"/>
      <w:adjustRightInd w:val="0"/>
      <w:ind w:left="170" w:right="170" w:firstLine="680"/>
      <w:jc w:val="both"/>
    </w:pPr>
  </w:style>
  <w:style w:type="paragraph" w:customStyle="1" w:styleId="111">
    <w:name w:val="Заголовок 1.1"/>
    <w:basedOn w:val="1"/>
    <w:next w:val="afff0"/>
    <w:pPr>
      <w:widowControl w:val="0"/>
      <w:numPr>
        <w:numId w:val="0"/>
      </w:numPr>
      <w:overflowPunct/>
      <w:autoSpaceDE/>
      <w:autoSpaceDN/>
      <w:adjustRightInd/>
      <w:spacing w:after="0"/>
      <w:ind w:left="170" w:firstLine="680"/>
      <w:jc w:val="both"/>
      <w:textAlignment w:val="auto"/>
    </w:pPr>
    <w:rPr>
      <w:kern w:val="0"/>
      <w:szCs w:val="22"/>
      <w:lang w:val="en-US"/>
    </w:rPr>
  </w:style>
  <w:style w:type="paragraph" w:styleId="afff0">
    <w:name w:val="Normal Indent"/>
    <w:aliases w:val="Обычный отступ Знак Знак,Обычный отступ Знак,Обычный отступ Знак Знак Знак Знак,Обычный отступ Знак Знак Знак Знак Знак Знак"/>
    <w:basedOn w:val="a2"/>
    <w:link w:val="1b"/>
    <w:pPr>
      <w:ind w:left="708"/>
    </w:pPr>
  </w:style>
  <w:style w:type="paragraph" w:customStyle="1" w:styleId="1c">
    <w:name w:val="1 Знак Знак Знак Знак"/>
    <w:basedOn w:val="a2"/>
    <w:rPr>
      <w:rFonts w:ascii="Times New Roman" w:hAnsi="Times New Roman" w:cs="Times New Roman"/>
      <w:sz w:val="28"/>
      <w:szCs w:val="20"/>
    </w:rPr>
  </w:style>
  <w:style w:type="paragraph" w:customStyle="1" w:styleId="afff1">
    <w:name w:val="Назв после табл"/>
    <w:basedOn w:val="a2"/>
    <w:next w:val="a2"/>
    <w:pPr>
      <w:spacing w:before="120"/>
      <w:ind w:firstLine="720"/>
      <w:jc w:val="both"/>
    </w:pPr>
    <w:rPr>
      <w:rFonts w:ascii="Times New Roman" w:hAnsi="Times New Roman" w:cs="Times New Roman"/>
      <w:sz w:val="28"/>
      <w:szCs w:val="20"/>
    </w:rPr>
  </w:style>
  <w:style w:type="paragraph" w:customStyle="1" w:styleId="afff2">
    <w:name w:val="Абзац"/>
    <w:basedOn w:val="a2"/>
    <w:pPr>
      <w:ind w:left="284" w:right="170" w:firstLine="567"/>
      <w:jc w:val="both"/>
    </w:pPr>
  </w:style>
  <w:style w:type="paragraph" w:customStyle="1" w:styleId="a1">
    <w:name w:val="Абзац_маркиров"/>
    <w:basedOn w:val="afff2"/>
    <w:pPr>
      <w:numPr>
        <w:numId w:val="2"/>
      </w:numPr>
    </w:pPr>
  </w:style>
  <w:style w:type="paragraph" w:customStyle="1" w:styleId="20">
    <w:name w:val="Абзац маркированный 2"/>
    <w:basedOn w:val="a2"/>
    <w:pPr>
      <w:numPr>
        <w:numId w:val="3"/>
      </w:numPr>
    </w:pPr>
    <w:rPr>
      <w:rFonts w:ascii="Times New Roman" w:hAnsi="Times New Roman" w:cs="Times New Roman"/>
      <w:sz w:val="24"/>
      <w:szCs w:val="24"/>
    </w:rPr>
  </w:style>
  <w:style w:type="paragraph" w:styleId="afff3">
    <w:name w:val="List Paragraph"/>
    <w:basedOn w:val="a2"/>
    <w:uiPriority w:val="34"/>
    <w:qFormat/>
    <w:pPr>
      <w:ind w:left="720"/>
      <w:contextualSpacing/>
    </w:pPr>
  </w:style>
  <w:style w:type="paragraph" w:styleId="afff4">
    <w:name w:val="TOC Heading"/>
    <w:basedOn w:val="1"/>
    <w:next w:val="a2"/>
    <w:uiPriority w:val="39"/>
    <w:semiHidden/>
    <w:unhideWhenUsed/>
    <w:qFormat/>
    <w:pPr>
      <w:keepLines/>
      <w:numPr>
        <w:numId w:val="0"/>
      </w:numPr>
      <w:overflowPunct/>
      <w:autoSpaceDE/>
      <w:autoSpaceDN/>
      <w:adjustRightInd/>
      <w:spacing w:before="480" w:after="0" w:line="276" w:lineRule="auto"/>
      <w:textAlignment w:val="auto"/>
      <w:outlineLvl w:val="9"/>
    </w:pPr>
    <w:rPr>
      <w:rFonts w:ascii="Cambria" w:hAnsi="Cambria"/>
      <w:bCs/>
      <w:color w:val="365F91"/>
      <w:kern w:val="0"/>
      <w:sz w:val="28"/>
      <w:szCs w:val="28"/>
      <w:lang w:eastAsia="en-US"/>
    </w:rPr>
  </w:style>
  <w:style w:type="paragraph" w:customStyle="1" w:styleId="afff5">
    <w:name w:val="Стиль текста"/>
    <w:basedOn w:val="a2"/>
    <w:link w:val="afff6"/>
    <w:qFormat/>
    <w:pPr>
      <w:ind w:left="170" w:right="170" w:firstLine="680"/>
      <w:jc w:val="both"/>
    </w:pPr>
    <w:rPr>
      <w:rFonts w:cs="Times New Roman"/>
    </w:rPr>
  </w:style>
  <w:style w:type="character" w:customStyle="1" w:styleId="afff6">
    <w:name w:val="Стиль текста Знак"/>
    <w:link w:val="afff5"/>
    <w:rPr>
      <w:rFonts w:ascii="Arial" w:hAnsi="Arial" w:cs="Arial"/>
      <w:sz w:val="22"/>
      <w:szCs w:val="22"/>
    </w:rPr>
  </w:style>
  <w:style w:type="paragraph" w:customStyle="1" w:styleId="afff7">
    <w:name w:val="Стиль текст"/>
    <w:basedOn w:val="a2"/>
    <w:link w:val="afff8"/>
    <w:qFormat/>
    <w:pPr>
      <w:ind w:left="170" w:right="170" w:firstLine="680"/>
      <w:jc w:val="both"/>
    </w:pPr>
    <w:rPr>
      <w:rFonts w:cs="Times New Roman"/>
    </w:rPr>
  </w:style>
  <w:style w:type="character" w:customStyle="1" w:styleId="afff8">
    <w:name w:val="Стиль текст Знак"/>
    <w:aliases w:val="Без интервала Знак"/>
    <w:link w:val="afff7"/>
    <w:rPr>
      <w:rFonts w:ascii="Arial" w:hAnsi="Arial" w:cs="Arial"/>
      <w:sz w:val="22"/>
      <w:szCs w:val="22"/>
    </w:rPr>
  </w:style>
  <w:style w:type="paragraph" w:styleId="afff9">
    <w:name w:val="No Spacing"/>
    <w:basedOn w:val="a2"/>
    <w:uiPriority w:val="1"/>
    <w:qFormat/>
    <w:pPr>
      <w:tabs>
        <w:tab w:val="left" w:pos="480"/>
        <w:tab w:val="right" w:leader="dot" w:pos="9922"/>
      </w:tabs>
      <w:overflowPunct w:val="0"/>
      <w:autoSpaceDE w:val="0"/>
      <w:autoSpaceDN w:val="0"/>
      <w:adjustRightInd w:val="0"/>
      <w:jc w:val="center"/>
      <w:textAlignment w:val="baseline"/>
    </w:pPr>
    <w:rPr>
      <w:iCs/>
      <w:noProof/>
    </w:rPr>
  </w:style>
  <w:style w:type="paragraph" w:customStyle="1" w:styleId="2a">
    <w:name w:val="Стиль2"/>
    <w:basedOn w:val="a2"/>
    <w:link w:val="2b"/>
    <w:qFormat/>
    <w:pPr>
      <w:spacing w:line="288" w:lineRule="auto"/>
      <w:ind w:left="170" w:right="170" w:firstLine="680"/>
      <w:jc w:val="both"/>
    </w:pPr>
    <w:rPr>
      <w:rFonts w:cs="Times New Roman"/>
      <w:szCs w:val="24"/>
    </w:rPr>
  </w:style>
  <w:style w:type="character" w:customStyle="1" w:styleId="2b">
    <w:name w:val="Стиль2 Знак"/>
    <w:link w:val="2a"/>
    <w:rPr>
      <w:rFonts w:ascii="Arial" w:hAnsi="Arial"/>
      <w:sz w:val="22"/>
      <w:szCs w:val="24"/>
    </w:rPr>
  </w:style>
  <w:style w:type="character" w:styleId="afffa">
    <w:name w:val="Emphasis"/>
    <w:qFormat/>
    <w:rPr>
      <w:rFonts w:ascii="Arial" w:hAnsi="Arial" w:cs="Arial" w:hint="default"/>
      <w:i w:val="0"/>
      <w:iCs w:val="0"/>
      <w:strike w:val="0"/>
      <w:dstrike w:val="0"/>
      <w:sz w:val="24"/>
      <w:u w:val="none"/>
      <w:effect w:val="none"/>
      <w:vertAlign w:val="baseline"/>
    </w:rPr>
  </w:style>
  <w:style w:type="paragraph" w:customStyle="1" w:styleId="afffb">
    <w:name w:val="без интервала"/>
    <w:basedOn w:val="2a"/>
    <w:link w:val="afffc"/>
    <w:qFormat/>
    <w:pPr>
      <w:spacing w:line="240" w:lineRule="auto"/>
      <w:ind w:left="0" w:right="0" w:firstLine="0"/>
      <w:jc w:val="center"/>
    </w:pPr>
    <w:rPr>
      <w:szCs w:val="22"/>
    </w:rPr>
  </w:style>
  <w:style w:type="character" w:customStyle="1" w:styleId="afffc">
    <w:name w:val="без интервала Знак"/>
    <w:link w:val="afffb"/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a3"/>
  </w:style>
  <w:style w:type="character" w:customStyle="1" w:styleId="match">
    <w:name w:val="match"/>
    <w:basedOn w:val="a3"/>
  </w:style>
  <w:style w:type="character" w:customStyle="1" w:styleId="36">
    <w:name w:val="Основной текст (3)"/>
    <w:rPr>
      <w:rFonts w:ascii="Times New Roman" w:hAnsi="Times New Roman" w:cs="Times New Roman"/>
      <w:spacing w:val="0"/>
      <w:sz w:val="15"/>
      <w:szCs w:val="15"/>
    </w:rPr>
  </w:style>
  <w:style w:type="character" w:customStyle="1" w:styleId="322">
    <w:name w:val="Основной текст (3)22"/>
    <w:rPr>
      <w:rFonts w:ascii="Times New Roman" w:hAnsi="Times New Roman" w:cs="Times New Roman"/>
      <w:noProof/>
      <w:spacing w:val="0"/>
      <w:sz w:val="15"/>
      <w:szCs w:val="15"/>
    </w:rPr>
  </w:style>
  <w:style w:type="paragraph" w:customStyle="1" w:styleId="Noeeu1">
    <w:name w:val="Noeeu1"/>
    <w:basedOn w:val="a2"/>
    <w:pPr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xl33">
    <w:name w:val="xl33"/>
    <w:basedOn w:val="a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eastAsia="Arial Unicode MS" w:hAnsi="Times New Roman CYR" w:cs="Times New Roman CYR"/>
      <w:sz w:val="24"/>
      <w:szCs w:val="24"/>
    </w:rPr>
  </w:style>
  <w:style w:type="paragraph" w:customStyle="1" w:styleId="120">
    <w:name w:val="Об таб центр12"/>
    <w:basedOn w:val="a2"/>
    <w:pPr>
      <w:jc w:val="center"/>
    </w:pPr>
    <w:rPr>
      <w:rFonts w:ascii="Times New Roman" w:hAnsi="Times New Roman" w:cs="Times New Roman"/>
      <w:snapToGrid w:val="0"/>
      <w:sz w:val="24"/>
      <w:szCs w:val="20"/>
    </w:rPr>
  </w:style>
  <w:style w:type="paragraph" w:customStyle="1" w:styleId="ConsPlusNonformat">
    <w:name w:val="ConsPlusNonformat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">
    <w:name w:val="Стиль список"/>
    <w:basedOn w:val="a2"/>
    <w:link w:val="afffd"/>
    <w:qFormat/>
    <w:pPr>
      <w:numPr>
        <w:numId w:val="5"/>
      </w:numPr>
      <w:tabs>
        <w:tab w:val="left" w:pos="1134"/>
      </w:tabs>
      <w:ind w:right="170"/>
      <w:jc w:val="both"/>
    </w:pPr>
  </w:style>
  <w:style w:type="character" w:customStyle="1" w:styleId="afffd">
    <w:name w:val="Стиль список Знак"/>
    <w:basedOn w:val="a3"/>
    <w:link w:val="a"/>
    <w:rPr>
      <w:rFonts w:ascii="Arial" w:hAnsi="Arial" w:cs="Arial"/>
      <w:sz w:val="22"/>
      <w:szCs w:val="22"/>
    </w:rPr>
  </w:style>
  <w:style w:type="paragraph" w:styleId="4">
    <w:name w:val="List Number 4"/>
    <w:basedOn w:val="a2"/>
    <w:pPr>
      <w:numPr>
        <w:numId w:val="6"/>
      </w:numPr>
      <w:contextualSpacing/>
    </w:pPr>
    <w:rPr>
      <w:rFonts w:ascii="Times New Roman" w:hAnsi="Times New Roman" w:cs="Times New Roman"/>
      <w:sz w:val="24"/>
      <w:szCs w:val="24"/>
    </w:rPr>
  </w:style>
  <w:style w:type="character" w:styleId="afffe">
    <w:name w:val="FollowedHyperlink"/>
    <w:basedOn w:val="a3"/>
    <w:uiPriority w:val="99"/>
    <w:rPr>
      <w:color w:val="800080" w:themeColor="followedHyperlink"/>
      <w:u w:val="single"/>
    </w:rPr>
  </w:style>
  <w:style w:type="paragraph" w:customStyle="1" w:styleId="211">
    <w:name w:val="Основной текст с отступом 21"/>
    <w:basedOn w:val="a2"/>
    <w:pPr>
      <w:ind w:firstLine="720"/>
      <w:jc w:val="both"/>
    </w:pPr>
    <w:rPr>
      <w:rFonts w:ascii="Times New Roman" w:hAnsi="Times New Roman" w:cs="Times New Roman"/>
      <w:sz w:val="24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affff">
    <w:name w:val="Intense Emphasis"/>
    <w:basedOn w:val="a3"/>
    <w:uiPriority w:val="21"/>
    <w:qFormat/>
    <w:rPr>
      <w:b/>
      <w:bCs/>
      <w:i/>
      <w:iCs/>
      <w:color w:val="4F81BD" w:themeColor="accent1"/>
    </w:rPr>
  </w:style>
  <w:style w:type="character" w:customStyle="1" w:styleId="HTML0">
    <w:name w:val="Стандартный HTML Знак"/>
    <w:basedOn w:val="a3"/>
    <w:link w:val="HTML"/>
    <w:rPr>
      <w:rFonts w:ascii="Courier New" w:hAnsi="Courier New" w:cs="Courier New"/>
    </w:rPr>
  </w:style>
  <w:style w:type="character" w:customStyle="1" w:styleId="ab">
    <w:name w:val="Нижний колонтитул Знак"/>
    <w:basedOn w:val="a3"/>
    <w:link w:val="aa"/>
    <w:rPr>
      <w:rFonts w:ascii="Arial" w:hAnsi="Arial" w:cs="Arial"/>
      <w:sz w:val="22"/>
    </w:rPr>
  </w:style>
  <w:style w:type="character" w:customStyle="1" w:styleId="extended-textfull">
    <w:name w:val="extended-text__full"/>
    <w:basedOn w:val="a3"/>
  </w:style>
  <w:style w:type="character" w:customStyle="1" w:styleId="a7">
    <w:name w:val="Верхний колонтитул Знак"/>
    <w:basedOn w:val="a3"/>
    <w:link w:val="a6"/>
    <w:rPr>
      <w:rFonts w:ascii="Arial" w:hAnsi="Arial" w:cs="Arial"/>
      <w:sz w:val="22"/>
    </w:rPr>
  </w:style>
  <w:style w:type="character" w:customStyle="1" w:styleId="ecattext">
    <w:name w:val="ecattext"/>
    <w:basedOn w:val="a3"/>
  </w:style>
  <w:style w:type="character" w:customStyle="1" w:styleId="blk">
    <w:name w:val="blk"/>
    <w:basedOn w:val="a3"/>
  </w:style>
  <w:style w:type="paragraph" w:customStyle="1" w:styleId="affff0">
    <w:name w:val="Таблица"/>
    <w:basedOn w:val="a2"/>
    <w:next w:val="a2"/>
    <w:pPr>
      <w:spacing w:before="120" w:after="120"/>
      <w:jc w:val="both"/>
    </w:pPr>
    <w:rPr>
      <w:rFonts w:ascii="Times New Roman" w:hAnsi="Times New Roman" w:cs="Times New Roman"/>
      <w:sz w:val="24"/>
      <w:szCs w:val="20"/>
    </w:rPr>
  </w:style>
  <w:style w:type="character" w:customStyle="1" w:styleId="2c">
    <w:name w:val="Основной текст (2)_"/>
    <w:basedOn w:val="a3"/>
    <w:link w:val="2d"/>
    <w:locked/>
    <w:rPr>
      <w:sz w:val="28"/>
      <w:szCs w:val="28"/>
      <w:shd w:val="clear" w:color="auto" w:fill="FFFFFF"/>
    </w:rPr>
  </w:style>
  <w:style w:type="paragraph" w:customStyle="1" w:styleId="2d">
    <w:name w:val="Основной текст (2)"/>
    <w:basedOn w:val="a2"/>
    <w:link w:val="2c"/>
    <w:pPr>
      <w:widowControl w:val="0"/>
      <w:shd w:val="clear" w:color="auto" w:fill="FFFFFF"/>
      <w:spacing w:line="0" w:lineRule="atLeast"/>
    </w:pPr>
    <w:rPr>
      <w:rFonts w:ascii="Times New Roman" w:hAnsi="Times New Roman" w:cs="Times New Roman"/>
      <w:sz w:val="28"/>
      <w:szCs w:val="28"/>
    </w:rPr>
  </w:style>
  <w:style w:type="character" w:customStyle="1" w:styleId="1b">
    <w:name w:val="Обычный отступ Знак1"/>
    <w:aliases w:val="Обычный отступ Знак Знак Знак,Обычный отступ Знак Знак1,Обычный отступ Знак Знак Знак Знак Знак,Обычный отступ Знак Знак Знак Знак Знак Знак Знак"/>
    <w:link w:val="afff0"/>
    <w:locked/>
    <w:rPr>
      <w:rFonts w:ascii="Arial" w:hAnsi="Arial" w:cs="Arial"/>
      <w:sz w:val="22"/>
      <w:szCs w:val="22"/>
    </w:rPr>
  </w:style>
  <w:style w:type="paragraph" w:customStyle="1" w:styleId="a0">
    <w:name w:val="список"/>
    <w:basedOn w:val="a2"/>
    <w:qFormat/>
    <w:pPr>
      <w:widowControl w:val="0"/>
      <w:numPr>
        <w:numId w:val="34"/>
      </w:numPr>
      <w:spacing w:line="360" w:lineRule="auto"/>
      <w:ind w:left="993" w:hanging="284"/>
      <w:jc w:val="both"/>
    </w:pPr>
    <w:rPr>
      <w:rFonts w:cs="Times New Roman"/>
      <w:kern w:val="28"/>
      <w:szCs w:val="20"/>
    </w:rPr>
  </w:style>
  <w:style w:type="table" w:customStyle="1" w:styleId="2e">
    <w:name w:val="Сетка таблицы2"/>
    <w:basedOn w:val="a4"/>
    <w:next w:val="af6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етка таблицы3"/>
    <w:basedOn w:val="a4"/>
    <w:next w:val="af6"/>
    <w:pPr>
      <w:overflowPunct w:val="0"/>
      <w:autoSpaceDE w:val="0"/>
      <w:autoSpaceDN w:val="0"/>
      <w:adjustRightInd w:val="0"/>
      <w:textAlignment w:val="baseline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1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22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0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1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9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1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0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5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2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3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1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7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5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8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9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1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2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5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7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0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7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3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5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15C32D-4478-41C5-9DEE-94B79F998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984</TotalTime>
  <Pages>32</Pages>
  <Words>3731</Words>
  <Characters>28174</Characters>
  <Application>Microsoft Office Word</Application>
  <DocSecurity>0</DocSecurity>
  <Lines>234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ЗАО "ИННЦ"</Company>
  <LinksUpToDate>false</LinksUpToDate>
  <CharactersWithSpaces>31842</CharactersWithSpaces>
  <SharedDoc>false</SharedDoc>
  <HLinks>
    <vt:vector size="426" baseType="variant">
      <vt:variant>
        <vt:i4>1245244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_Toc388608722</vt:lpwstr>
      </vt:variant>
      <vt:variant>
        <vt:i4>1245244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_Toc388608721</vt:lpwstr>
      </vt:variant>
      <vt:variant>
        <vt:i4>1245244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_Toc388608720</vt:lpwstr>
      </vt:variant>
      <vt:variant>
        <vt:i4>1048636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_Toc388608719</vt:lpwstr>
      </vt:variant>
      <vt:variant>
        <vt:i4>1048636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_Toc388608718</vt:lpwstr>
      </vt:variant>
      <vt:variant>
        <vt:i4>1048636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_Toc388608717</vt:lpwstr>
      </vt:variant>
      <vt:variant>
        <vt:i4>1048636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_Toc388608716</vt:lpwstr>
      </vt:variant>
      <vt:variant>
        <vt:i4>1048636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_Toc388608715</vt:lpwstr>
      </vt:variant>
      <vt:variant>
        <vt:i4>1048636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_Toc388608714</vt:lpwstr>
      </vt:variant>
      <vt:variant>
        <vt:i4>1048636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_Toc388608713</vt:lpwstr>
      </vt:variant>
      <vt:variant>
        <vt:i4>1048636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_Toc388608712</vt:lpwstr>
      </vt:variant>
      <vt:variant>
        <vt:i4>1048636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_Toc388608711</vt:lpwstr>
      </vt:variant>
      <vt:variant>
        <vt:i4>1048636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_Toc388608710</vt:lpwstr>
      </vt:variant>
      <vt:variant>
        <vt:i4>1114172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_Toc388608709</vt:lpwstr>
      </vt:variant>
      <vt:variant>
        <vt:i4>1114172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_Toc388608708</vt:lpwstr>
      </vt:variant>
      <vt:variant>
        <vt:i4>1114172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_Toc388608707</vt:lpwstr>
      </vt:variant>
      <vt:variant>
        <vt:i4>1114172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_Toc388608706</vt:lpwstr>
      </vt:variant>
      <vt:variant>
        <vt:i4>1114172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_Toc388608705</vt:lpwstr>
      </vt:variant>
      <vt:variant>
        <vt:i4>1114172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_Toc388608704</vt:lpwstr>
      </vt:variant>
      <vt:variant>
        <vt:i4>1114172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_Toc388608703</vt:lpwstr>
      </vt:variant>
      <vt:variant>
        <vt:i4>1114172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_Toc388608702</vt:lpwstr>
      </vt:variant>
      <vt:variant>
        <vt:i4>1114172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_Toc388608701</vt:lpwstr>
      </vt:variant>
      <vt:variant>
        <vt:i4>1114172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_Toc388608700</vt:lpwstr>
      </vt:variant>
      <vt:variant>
        <vt:i4>1572925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_Toc388608699</vt:lpwstr>
      </vt:variant>
      <vt:variant>
        <vt:i4>1572925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_Toc388608698</vt:lpwstr>
      </vt:variant>
      <vt:variant>
        <vt:i4>1572925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_Toc388608697</vt:lpwstr>
      </vt:variant>
      <vt:variant>
        <vt:i4>1572925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_Toc388608696</vt:lpwstr>
      </vt:variant>
      <vt:variant>
        <vt:i4>1572925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_Toc388608695</vt:lpwstr>
      </vt:variant>
      <vt:variant>
        <vt:i4>1572925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_Toc388608694</vt:lpwstr>
      </vt:variant>
      <vt:variant>
        <vt:i4>1572925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_Toc388608693</vt:lpwstr>
      </vt:variant>
      <vt:variant>
        <vt:i4>1572925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_Toc388608692</vt:lpwstr>
      </vt:variant>
      <vt:variant>
        <vt:i4>1572925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_Toc388608691</vt:lpwstr>
      </vt:variant>
      <vt:variant>
        <vt:i4>1572925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_Toc388608690</vt:lpwstr>
      </vt:variant>
      <vt:variant>
        <vt:i4>1638461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_Toc388608689</vt:lpwstr>
      </vt:variant>
      <vt:variant>
        <vt:i4>1638461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_Toc388608688</vt:lpwstr>
      </vt:variant>
      <vt:variant>
        <vt:i4>1638461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_Toc388608687</vt:lpwstr>
      </vt:variant>
      <vt:variant>
        <vt:i4>1638461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_Toc388608686</vt:lpwstr>
      </vt:variant>
      <vt:variant>
        <vt:i4>1638461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_Toc388608685</vt:lpwstr>
      </vt:variant>
      <vt:variant>
        <vt:i4>1638461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_Toc388608684</vt:lpwstr>
      </vt:variant>
      <vt:variant>
        <vt:i4>1638461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_Toc388608683</vt:lpwstr>
      </vt:variant>
      <vt:variant>
        <vt:i4>1638461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_Toc388608682</vt:lpwstr>
      </vt:variant>
      <vt:variant>
        <vt:i4>1638461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_Toc388608681</vt:lpwstr>
      </vt:variant>
      <vt:variant>
        <vt:i4>1638461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_Toc388608680</vt:lpwstr>
      </vt:variant>
      <vt:variant>
        <vt:i4>1441853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_Toc388608679</vt:lpwstr>
      </vt:variant>
      <vt:variant>
        <vt:i4>1441853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_Toc388608678</vt:lpwstr>
      </vt:variant>
      <vt:variant>
        <vt:i4>1441853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_Toc388608677</vt:lpwstr>
      </vt:variant>
      <vt:variant>
        <vt:i4>1441853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_Toc388608676</vt:lpwstr>
      </vt:variant>
      <vt:variant>
        <vt:i4>1441853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_Toc388608675</vt:lpwstr>
      </vt:variant>
      <vt:variant>
        <vt:i4>1441853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_Toc388608674</vt:lpwstr>
      </vt:variant>
      <vt:variant>
        <vt:i4>1441853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_Toc388608673</vt:lpwstr>
      </vt:variant>
      <vt:variant>
        <vt:i4>1441853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_Toc388608672</vt:lpwstr>
      </vt:variant>
      <vt:variant>
        <vt:i4>1441853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_Toc388608671</vt:lpwstr>
      </vt:variant>
      <vt:variant>
        <vt:i4>1441853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_Toc388608670</vt:lpwstr>
      </vt:variant>
      <vt:variant>
        <vt:i4>1507389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_Toc388608669</vt:lpwstr>
      </vt:variant>
      <vt:variant>
        <vt:i4>1507389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_Toc388608668</vt:lpwstr>
      </vt:variant>
      <vt:variant>
        <vt:i4>1507389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_Toc388608667</vt:lpwstr>
      </vt:variant>
      <vt:variant>
        <vt:i4>1507389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_Toc388608666</vt:lpwstr>
      </vt:variant>
      <vt:variant>
        <vt:i4>1507389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_Toc388608665</vt:lpwstr>
      </vt:variant>
      <vt:variant>
        <vt:i4>1507389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_Toc388608664</vt:lpwstr>
      </vt:variant>
      <vt:variant>
        <vt:i4>1507389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_Toc388608663</vt:lpwstr>
      </vt:variant>
      <vt:variant>
        <vt:i4>1507389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_Toc388608662</vt:lpwstr>
      </vt:variant>
      <vt:variant>
        <vt:i4>1507389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_Toc388608661</vt:lpwstr>
      </vt:variant>
      <vt:variant>
        <vt:i4>1507389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_Toc388608660</vt:lpwstr>
      </vt:variant>
      <vt:variant>
        <vt:i4>1310781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_Toc388608659</vt:lpwstr>
      </vt:variant>
      <vt:variant>
        <vt:i4>1310781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_Toc388608658</vt:lpwstr>
      </vt:variant>
      <vt:variant>
        <vt:i4>1310781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_Toc388608657</vt:lpwstr>
      </vt:variant>
      <vt:variant>
        <vt:i4>1310781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_Toc388608656</vt:lpwstr>
      </vt:variant>
      <vt:variant>
        <vt:i4>1310781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_Toc388608655</vt:lpwstr>
      </vt:variant>
      <vt:variant>
        <vt:i4>1310781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_Toc388608654</vt:lpwstr>
      </vt:variant>
      <vt:variant>
        <vt:i4>1310781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_Toc388608653</vt:lpwstr>
      </vt:variant>
      <vt:variant>
        <vt:i4>1310781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_Toc388608652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Шушпанов Александр Леонидович</dc:creator>
  <cp:lastModifiedBy>Юлия Гусева</cp:lastModifiedBy>
  <cp:revision>3</cp:revision>
  <cp:lastPrinted>2020-07-14T04:44:00Z</cp:lastPrinted>
  <dcterms:created xsi:type="dcterms:W3CDTF">2020-07-13T11:30:00Z</dcterms:created>
  <dcterms:modified xsi:type="dcterms:W3CDTF">2020-07-14T04:45:00Z</dcterms:modified>
</cp:coreProperties>
</file>